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78D1" w14:textId="77777777" w:rsidR="00B71C87" w:rsidRDefault="00B71C87"/>
    <w:p w14:paraId="1CC4DE38" w14:textId="77777777" w:rsidR="00B71C87" w:rsidRDefault="00B71C87">
      <w:pPr>
        <w:pStyle w:val="Title"/>
      </w:pPr>
      <w:bookmarkStart w:id="0" w:name="_Toc282261284"/>
    </w:p>
    <w:p w14:paraId="478DBA39" w14:textId="77777777" w:rsidR="00B71C87" w:rsidRDefault="00B71C87"/>
    <w:p w14:paraId="232DF92C" w14:textId="77777777" w:rsidR="00B71C87" w:rsidRDefault="00B71C87"/>
    <w:p w14:paraId="35BCC601" w14:textId="77777777" w:rsidR="00B71C87" w:rsidRDefault="00B71C87">
      <w:pPr>
        <w:pStyle w:val="Title"/>
      </w:pPr>
    </w:p>
    <w:p w14:paraId="2604F6F9" w14:textId="36D12DA1" w:rsidR="00B71C87" w:rsidRDefault="008E4A25">
      <w:pPr>
        <w:pStyle w:val="Title"/>
      </w:pPr>
      <w:r>
        <w:t>Architectural and</w:t>
      </w:r>
      <w:r w:rsidR="004269AD">
        <w:t xml:space="preserve"> Engineering Specification for </w:t>
      </w:r>
    </w:p>
    <w:bookmarkEnd w:id="0"/>
    <w:p w14:paraId="2783636F" w14:textId="3B18A600" w:rsidR="00B71C87" w:rsidRDefault="00F334F4">
      <w:pPr>
        <w:pStyle w:val="Title"/>
      </w:pPr>
      <w:proofErr w:type="spellStart"/>
      <w:r>
        <w:t>Input/Output</w:t>
      </w:r>
      <w:proofErr w:type="spellEnd"/>
      <w:r w:rsidR="008E4A25">
        <w:t xml:space="preserve"> </w:t>
      </w:r>
      <w:r w:rsidR="004269AD">
        <w:t>System Integration Modules</w:t>
      </w:r>
    </w:p>
    <w:p w14:paraId="768A5CE8" w14:textId="77777777" w:rsidR="00B71C87" w:rsidRDefault="00B71C87">
      <w:pPr>
        <w:pStyle w:val="Title"/>
      </w:pPr>
    </w:p>
    <w:p w14:paraId="351B2A57" w14:textId="229D3633" w:rsidR="00B71C87" w:rsidRDefault="00720B4F">
      <w:pPr>
        <w:pStyle w:val="Title"/>
      </w:pPr>
      <w:proofErr w:type="spellStart"/>
      <w:r>
        <w:t>UltraLink</w:t>
      </w:r>
      <w:proofErr w:type="spellEnd"/>
      <w:r w:rsidR="008E4A25">
        <w:t>™</w:t>
      </w:r>
    </w:p>
    <w:p w14:paraId="6E342165" w14:textId="77777777" w:rsidR="00B71C87" w:rsidRDefault="00B71C87"/>
    <w:p w14:paraId="60F21F11" w14:textId="77777777" w:rsidR="00B71C87" w:rsidRDefault="00B71C87"/>
    <w:p w14:paraId="439EC749" w14:textId="77777777" w:rsidR="00B71C87" w:rsidRDefault="00B71C87"/>
    <w:p w14:paraId="3D501BE1" w14:textId="77777777" w:rsidR="00B71C87" w:rsidRDefault="00B71C87"/>
    <w:p w14:paraId="454A50D8" w14:textId="77777777" w:rsidR="00B71C87" w:rsidRDefault="00B71C87"/>
    <w:p w14:paraId="4F0C3A98" w14:textId="77777777" w:rsidR="00B71C87" w:rsidRDefault="00B71C87"/>
    <w:p w14:paraId="2330C80A" w14:textId="77777777" w:rsidR="00B71C87" w:rsidRDefault="00B71C87"/>
    <w:p w14:paraId="2176F3E9" w14:textId="77777777" w:rsidR="00B71C87" w:rsidRDefault="00B71C87"/>
    <w:p w14:paraId="6B780809" w14:textId="77777777" w:rsidR="00B71C87" w:rsidRDefault="00B71C87"/>
    <w:p w14:paraId="76D92BAA" w14:textId="77777777" w:rsidR="00B71C87" w:rsidRDefault="00B71C87"/>
    <w:p w14:paraId="046D1644" w14:textId="7A8D0759" w:rsidR="00B71C87" w:rsidRDefault="003C4A26" w:rsidP="003C4A26">
      <w:pPr>
        <w:tabs>
          <w:tab w:val="left" w:pos="5195"/>
        </w:tabs>
      </w:pPr>
      <w:r>
        <w:tab/>
      </w:r>
    </w:p>
    <w:p w14:paraId="67FBEBC4" w14:textId="4165D444" w:rsidR="00B71C87" w:rsidRDefault="003C4A26" w:rsidP="003C4A26">
      <w:pPr>
        <w:tabs>
          <w:tab w:val="left" w:pos="5195"/>
        </w:tabs>
        <w:sectPr w:rsidR="00B71C87">
          <w:headerReference w:type="default" r:id="rId8"/>
          <w:footerReference w:type="default" r:id="rId9"/>
          <w:headerReference w:type="first" r:id="rId10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  <w:r>
        <w:tab/>
      </w:r>
    </w:p>
    <w:p w14:paraId="4690BFD4" w14:textId="77777777" w:rsidR="00B71C87" w:rsidRDefault="00B71C87"/>
    <w:p w14:paraId="3A1C0AFF" w14:textId="28023535" w:rsidR="00B71C87" w:rsidRDefault="008E4A25">
      <w:pPr>
        <w:pStyle w:val="Legal"/>
      </w:pPr>
      <w:bookmarkStart w:id="1" w:name="_Toc282261286"/>
      <w:r>
        <w:t xml:space="preserve">This document is intended to provide performance specifications and operational requirements for </w:t>
      </w:r>
      <w:proofErr w:type="spellStart"/>
      <w:r w:rsidR="00720B4F">
        <w:t>UltraLink</w:t>
      </w:r>
      <w:proofErr w:type="spellEnd"/>
      <w:r>
        <w:t xml:space="preserve"> perimeter </w:t>
      </w:r>
      <w:r w:rsidR="00720B4F">
        <w:t>system integration I/O modules</w:t>
      </w:r>
      <w:r>
        <w:t>. It is written in a generic format. These specifications may be copied verbatim to form a generic procurement specification.</w:t>
      </w:r>
    </w:p>
    <w:p w14:paraId="60DEB073" w14:textId="5AA5E66E" w:rsidR="00B71C87" w:rsidRDefault="002F20B4">
      <w:pPr>
        <w:pStyle w:val="Legal"/>
      </w:pPr>
      <w:proofErr w:type="spellStart"/>
      <w:r>
        <w:t>Senstar</w:t>
      </w:r>
      <w:proofErr w:type="spellEnd"/>
      <w:r>
        <w:t xml:space="preserve"> </w:t>
      </w:r>
      <w:r w:rsidR="004A2834">
        <w:t>is a</w:t>
      </w:r>
      <w:r w:rsidR="008E4A25">
        <w:t xml:space="preserve"> </w:t>
      </w:r>
      <w:r w:rsidR="0033386A">
        <w:t xml:space="preserve">registered trademark. </w:t>
      </w:r>
      <w:proofErr w:type="spellStart"/>
      <w:r>
        <w:t>UltraLink</w:t>
      </w:r>
      <w:proofErr w:type="spellEnd"/>
      <w:r>
        <w:t xml:space="preserve"> </w:t>
      </w:r>
      <w:r w:rsidR="008E4A25">
        <w:t xml:space="preserve">and Silver Network are trademarks of </w:t>
      </w:r>
      <w:proofErr w:type="spellStart"/>
      <w:r w:rsidR="008E4A25">
        <w:t>Senstar</w:t>
      </w:r>
      <w:proofErr w:type="spellEnd"/>
      <w:r w:rsidR="008E4A25">
        <w:t xml:space="preserve"> Corporation.</w:t>
      </w:r>
      <w:bookmarkStart w:id="2" w:name="_Toc282261287"/>
      <w:bookmarkEnd w:id="1"/>
      <w:r w:rsidR="008E4A25">
        <w:t xml:space="preserve"> The information in this document is subject to change without notice. </w:t>
      </w:r>
      <w:proofErr w:type="spellStart"/>
      <w:r w:rsidR="008E4A25">
        <w:t>Senstar</w:t>
      </w:r>
      <w:proofErr w:type="spellEnd"/>
      <w:r w:rsidR="008E4A25">
        <w:t xml:space="preserve"> reserves the right to make changes to product design or manufacturing methods, as engineering progresses, or as other circumstances warrant.</w:t>
      </w:r>
      <w:bookmarkEnd w:id="2"/>
    </w:p>
    <w:p w14:paraId="5A24277C" w14:textId="5E3AE2B5" w:rsidR="00B71C87" w:rsidRDefault="008E4A25">
      <w:pPr>
        <w:pStyle w:val="Legal"/>
      </w:pPr>
      <w:r>
        <w:t xml:space="preserve">Copyright </w:t>
      </w:r>
      <w:r w:rsidR="00A52663">
        <w:sym w:font="Symbol" w:char="F0E3"/>
      </w:r>
      <w:r>
        <w:t xml:space="preserve"> 20</w:t>
      </w:r>
      <w:r w:rsidR="004A2834">
        <w:t>20</w:t>
      </w:r>
      <w:r>
        <w:t xml:space="preserve">. </w:t>
      </w:r>
      <w:proofErr w:type="spellStart"/>
      <w:r>
        <w:t>Senstar</w:t>
      </w:r>
      <w:proofErr w:type="spellEnd"/>
      <w:r>
        <w:t xml:space="preserve"> Corporation. All rights reserved.</w:t>
      </w:r>
    </w:p>
    <w:p w14:paraId="380B959E" w14:textId="77777777" w:rsidR="00B71C87" w:rsidRDefault="00B71C87"/>
    <w:p w14:paraId="73FFA4C2" w14:textId="77777777" w:rsidR="004A2834" w:rsidRDefault="008E4A25">
      <w:pPr>
        <w:rPr>
          <w:noProof/>
        </w:rPr>
      </w:pPr>
      <w:r>
        <w:br w:type="page"/>
      </w:r>
      <w:r>
        <w:fldChar w:fldCharType="begin"/>
      </w:r>
      <w:r>
        <w:instrText xml:space="preserve"> TOC \o "2-2" \h \z \t "Heading 1,1" </w:instrText>
      </w:r>
      <w:r>
        <w:fldChar w:fldCharType="separate"/>
      </w:r>
    </w:p>
    <w:p w14:paraId="316090A7" w14:textId="33DD2689" w:rsidR="004A2834" w:rsidRDefault="00103A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CA" w:eastAsia="en-CA"/>
        </w:rPr>
      </w:pPr>
      <w:hyperlink w:anchor="_Toc43973842" w:history="1">
        <w:r w:rsidR="004A2834" w:rsidRPr="006E248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Part 1</w:t>
        </w:r>
        <w:r w:rsidR="004A2834">
          <w:rPr>
            <w:rFonts w:asciiTheme="minorHAnsi" w:eastAsiaTheme="minorEastAsia" w:hAnsiTheme="minorHAnsi" w:cstheme="minorBidi"/>
            <w:b w:val="0"/>
            <w:caps w:val="0"/>
            <w:lang w:val="en-CA" w:eastAsia="en-CA"/>
          </w:rPr>
          <w:tab/>
        </w:r>
        <w:r w:rsidR="004A2834" w:rsidRPr="006E2488">
          <w:rPr>
            <w:rStyle w:val="Hyperlink"/>
          </w:rPr>
          <w:t>General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_Toc43973842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4</w:t>
        </w:r>
        <w:r w:rsidR="004A2834">
          <w:rPr>
            <w:webHidden/>
          </w:rPr>
          <w:fldChar w:fldCharType="end"/>
        </w:r>
      </w:hyperlink>
    </w:p>
    <w:p w14:paraId="609A18FA" w14:textId="0C6C7EE6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43" w:history="1">
        <w:r w:rsidR="004A2834" w:rsidRPr="006E2488">
          <w:rPr>
            <w:rStyle w:val="Hyperlink"/>
          </w:rPr>
          <w:t>1.1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System Summary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_Toc43973843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4</w:t>
        </w:r>
        <w:r w:rsidR="004A2834">
          <w:rPr>
            <w:webHidden/>
          </w:rPr>
          <w:fldChar w:fldCharType="end"/>
        </w:r>
      </w:hyperlink>
    </w:p>
    <w:p w14:paraId="12BD2583" w14:textId="68B5ED41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44" w:history="1">
        <w:r w:rsidR="004A2834" w:rsidRPr="006E2488">
          <w:rPr>
            <w:rStyle w:val="Hyperlink"/>
          </w:rPr>
          <w:t>1.2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Submittals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_Toc43973844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4</w:t>
        </w:r>
        <w:r w:rsidR="004A2834">
          <w:rPr>
            <w:webHidden/>
          </w:rPr>
          <w:fldChar w:fldCharType="end"/>
        </w:r>
      </w:hyperlink>
    </w:p>
    <w:p w14:paraId="7D54BB46" w14:textId="0134649E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45" w:history="1">
        <w:r w:rsidR="004A2834" w:rsidRPr="006E2488">
          <w:rPr>
            <w:rStyle w:val="Hyperlink"/>
          </w:rPr>
          <w:t>1.3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Spares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_Toc43973845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4</w:t>
        </w:r>
        <w:r w:rsidR="004A2834">
          <w:rPr>
            <w:webHidden/>
          </w:rPr>
          <w:fldChar w:fldCharType="end"/>
        </w:r>
      </w:hyperlink>
    </w:p>
    <w:p w14:paraId="36A15E79" w14:textId="001C432F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46" w:history="1">
        <w:r w:rsidR="004A2834" w:rsidRPr="006E2488">
          <w:rPr>
            <w:rStyle w:val="Hyperlink"/>
          </w:rPr>
          <w:t>1.4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Warranty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_Toc43973846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4</w:t>
        </w:r>
        <w:r w:rsidR="004A2834">
          <w:rPr>
            <w:webHidden/>
          </w:rPr>
          <w:fldChar w:fldCharType="end"/>
        </w:r>
      </w:hyperlink>
    </w:p>
    <w:p w14:paraId="67B20D1D" w14:textId="08D6FBE1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47" w:history="1">
        <w:r w:rsidR="004A2834" w:rsidRPr="006E2488">
          <w:rPr>
            <w:rStyle w:val="Hyperlink"/>
          </w:rPr>
          <w:t>1.5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References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_Toc43973847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4</w:t>
        </w:r>
        <w:r w:rsidR="004A2834">
          <w:rPr>
            <w:webHidden/>
          </w:rPr>
          <w:fldChar w:fldCharType="end"/>
        </w:r>
      </w:hyperlink>
    </w:p>
    <w:p w14:paraId="34AE047A" w14:textId="6A8AB029" w:rsidR="004A2834" w:rsidRDefault="00103A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CA" w:eastAsia="en-CA"/>
        </w:rPr>
      </w:pPr>
      <w:hyperlink w:anchor="_Toc43973848" w:history="1">
        <w:r w:rsidR="004A2834" w:rsidRPr="006E248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Part 2</w:t>
        </w:r>
        <w:r w:rsidR="004A2834">
          <w:rPr>
            <w:rFonts w:asciiTheme="minorHAnsi" w:eastAsiaTheme="minorEastAsia" w:hAnsiTheme="minorHAnsi" w:cstheme="minorBidi"/>
            <w:b w:val="0"/>
            <w:caps w:val="0"/>
            <w:lang w:val="en-CA" w:eastAsia="en-CA"/>
          </w:rPr>
          <w:tab/>
        </w:r>
        <w:r w:rsidR="004A2834" w:rsidRPr="006E2488">
          <w:rPr>
            <w:rStyle w:val="Hyperlink"/>
          </w:rPr>
          <w:t>Products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_Toc43973848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12EE883A" w14:textId="0742C2BF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49" w:history="1">
        <w:r w:rsidR="004A2834" w:rsidRPr="006E2488">
          <w:rPr>
            <w:rStyle w:val="Hyperlink"/>
          </w:rPr>
          <w:t>2.1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Software-Configurable I/O Modules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_Toc43973849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63ECCC9E" w14:textId="7EBA38A5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0" w:history="1">
        <w:r w:rsidR="004A2834" w:rsidRPr="006E2488">
          <w:rPr>
            <w:rStyle w:val="Hyperlink"/>
          </w:rPr>
          <w:t>2.2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Manufacturers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_Toc43973850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0E72C868" w14:textId="0BA40AC5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1" w:history="1">
        <w:r w:rsidR="004A2834" w:rsidRPr="006E2488">
          <w:rPr>
            <w:rStyle w:val="Hyperlink"/>
          </w:rPr>
          <w:t>2.3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Regulatory Requirements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_Toc43973851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647EECAF" w14:textId="23CE3736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2" w:history="1">
        <w:r w:rsidR="004A2834" w:rsidRPr="006E2488">
          <w:rPr>
            <w:rStyle w:val="Hyperlink"/>
          </w:rPr>
          <w:t>2.4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Manufacturing Quality Requirements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_Toc43973852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744AEA89" w14:textId="356543A1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3" w:history="1">
        <w:r w:rsidR="004A2834" w:rsidRPr="006E2488">
          <w:rPr>
            <w:rStyle w:val="Hyperlink"/>
          </w:rPr>
          <w:t>2.5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Mechanical Requirements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_Toc43973853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7914785C" w14:textId="4C6F7052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4" w:history="1">
        <w:r w:rsidR="004A2834" w:rsidRPr="006E2488">
          <w:rPr>
            <w:rStyle w:val="Hyperlink"/>
          </w:rPr>
          <w:t>2.6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Environmental Requirements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_Toc43973854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6</w:t>
        </w:r>
        <w:r w:rsidR="004A2834">
          <w:rPr>
            <w:webHidden/>
          </w:rPr>
          <w:fldChar w:fldCharType="end"/>
        </w:r>
      </w:hyperlink>
    </w:p>
    <w:p w14:paraId="215A6586" w14:textId="0ACC9ED4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5" w:history="1">
        <w:r w:rsidR="004A2834" w:rsidRPr="006E2488">
          <w:rPr>
            <w:rStyle w:val="Hyperlink"/>
          </w:rPr>
          <w:t>2.7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Reliability and Maintenance Requirements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_Toc43973855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7</w:t>
        </w:r>
        <w:r w:rsidR="004A2834">
          <w:rPr>
            <w:webHidden/>
          </w:rPr>
          <w:fldChar w:fldCharType="end"/>
        </w:r>
      </w:hyperlink>
    </w:p>
    <w:p w14:paraId="23F58226" w14:textId="17A788B0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6" w:history="1">
        <w:r w:rsidR="004A2834" w:rsidRPr="006E2488">
          <w:rPr>
            <w:rStyle w:val="Hyperlink"/>
          </w:rPr>
          <w:t>2.8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Electrical Requirements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_Toc43973856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7</w:t>
        </w:r>
        <w:r w:rsidR="004A2834">
          <w:rPr>
            <w:webHidden/>
          </w:rPr>
          <w:fldChar w:fldCharType="end"/>
        </w:r>
      </w:hyperlink>
    </w:p>
    <w:p w14:paraId="1C8EB5B0" w14:textId="44AF70F8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7" w:history="1">
        <w:r w:rsidR="004A2834" w:rsidRPr="006E2488">
          <w:rPr>
            <w:rStyle w:val="Hyperlink"/>
          </w:rPr>
          <w:t>2.9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External Input/Output Capabilities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_Toc43973857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7</w:t>
        </w:r>
        <w:r w:rsidR="004A2834">
          <w:rPr>
            <w:webHidden/>
          </w:rPr>
          <w:fldChar w:fldCharType="end"/>
        </w:r>
      </w:hyperlink>
    </w:p>
    <w:p w14:paraId="29DCD829" w14:textId="771E4E1B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8" w:history="1">
        <w:r w:rsidR="004A2834" w:rsidRPr="006E2488">
          <w:rPr>
            <w:rStyle w:val="Hyperlink"/>
          </w:rPr>
          <w:t>2.10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Installation and Configuration Capabilities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_Toc43973858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9</w:t>
        </w:r>
        <w:r w:rsidR="004A2834">
          <w:rPr>
            <w:webHidden/>
          </w:rPr>
          <w:fldChar w:fldCharType="end"/>
        </w:r>
      </w:hyperlink>
    </w:p>
    <w:p w14:paraId="185D71B7" w14:textId="2C4E6EA9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59" w:history="1">
        <w:r w:rsidR="004A2834" w:rsidRPr="006E2488">
          <w:rPr>
            <w:rStyle w:val="Hyperlink"/>
          </w:rPr>
          <w:t>2.11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Networking Capabilities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_Toc43973859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9</w:t>
        </w:r>
        <w:r w:rsidR="004A2834">
          <w:rPr>
            <w:webHidden/>
          </w:rPr>
          <w:fldChar w:fldCharType="end"/>
        </w:r>
      </w:hyperlink>
    </w:p>
    <w:p w14:paraId="53E044A2" w14:textId="5732E155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60" w:history="1">
        <w:r w:rsidR="004A2834" w:rsidRPr="006E2488">
          <w:rPr>
            <w:rStyle w:val="Hyperlink"/>
          </w:rPr>
          <w:t>2.12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Direct-Connect Mode (“Network Manager Mode”)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_Toc43973860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10</w:t>
        </w:r>
        <w:r w:rsidR="004A2834">
          <w:rPr>
            <w:webHidden/>
          </w:rPr>
          <w:fldChar w:fldCharType="end"/>
        </w:r>
      </w:hyperlink>
    </w:p>
    <w:p w14:paraId="5DB5DBCF" w14:textId="728422D1" w:rsidR="004A2834" w:rsidRDefault="00103AD2">
      <w:pPr>
        <w:pStyle w:val="TOC1"/>
        <w:rPr>
          <w:rFonts w:asciiTheme="minorHAnsi" w:eastAsiaTheme="minorEastAsia" w:hAnsiTheme="minorHAnsi" w:cstheme="minorBidi"/>
          <w:b w:val="0"/>
          <w:caps w:val="0"/>
          <w:lang w:val="en-CA" w:eastAsia="en-CA"/>
        </w:rPr>
      </w:pPr>
      <w:hyperlink w:anchor="_Toc43973861" w:history="1">
        <w:r w:rsidR="004A2834" w:rsidRPr="006E248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Part 3</w:t>
        </w:r>
        <w:r w:rsidR="004A2834">
          <w:rPr>
            <w:rFonts w:asciiTheme="minorHAnsi" w:eastAsiaTheme="minorEastAsia" w:hAnsiTheme="minorHAnsi" w:cstheme="minorBidi"/>
            <w:b w:val="0"/>
            <w:caps w:val="0"/>
            <w:lang w:val="en-CA" w:eastAsia="en-CA"/>
          </w:rPr>
          <w:tab/>
        </w:r>
        <w:r w:rsidR="004A2834" w:rsidRPr="006E2488">
          <w:rPr>
            <w:rStyle w:val="Hyperlink"/>
          </w:rPr>
          <w:t>Execution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_Toc43973861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12</w:t>
        </w:r>
        <w:r w:rsidR="004A2834">
          <w:rPr>
            <w:webHidden/>
          </w:rPr>
          <w:fldChar w:fldCharType="end"/>
        </w:r>
      </w:hyperlink>
    </w:p>
    <w:p w14:paraId="24BE6FB0" w14:textId="752A023D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62" w:history="1">
        <w:r w:rsidR="004A2834" w:rsidRPr="006E2488">
          <w:rPr>
            <w:rStyle w:val="Hyperlink"/>
          </w:rPr>
          <w:t>3.1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Site Assessment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_Toc43973862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12</w:t>
        </w:r>
        <w:r w:rsidR="004A2834">
          <w:rPr>
            <w:webHidden/>
          </w:rPr>
          <w:fldChar w:fldCharType="end"/>
        </w:r>
      </w:hyperlink>
    </w:p>
    <w:p w14:paraId="38CF8476" w14:textId="05917D58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63" w:history="1">
        <w:r w:rsidR="004A2834" w:rsidRPr="006E2488">
          <w:rPr>
            <w:rStyle w:val="Hyperlink"/>
          </w:rPr>
          <w:t>3.2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System Installation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_Toc43973863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12</w:t>
        </w:r>
        <w:r w:rsidR="004A2834">
          <w:rPr>
            <w:webHidden/>
          </w:rPr>
          <w:fldChar w:fldCharType="end"/>
        </w:r>
      </w:hyperlink>
    </w:p>
    <w:p w14:paraId="0C196E53" w14:textId="0ADB7A18" w:rsidR="004A2834" w:rsidRDefault="00103AD2">
      <w:pPr>
        <w:pStyle w:val="TOC2"/>
        <w:rPr>
          <w:rFonts w:asciiTheme="minorHAnsi" w:eastAsiaTheme="minorEastAsia" w:hAnsiTheme="minorHAnsi" w:cstheme="minorBidi"/>
          <w:lang w:val="en-CA" w:eastAsia="en-CA"/>
        </w:rPr>
      </w:pPr>
      <w:hyperlink w:anchor="_Toc43973864" w:history="1">
        <w:r w:rsidR="004A2834" w:rsidRPr="006E2488">
          <w:rPr>
            <w:rStyle w:val="Hyperlink"/>
          </w:rPr>
          <w:t>3.1</w:t>
        </w:r>
        <w:r w:rsidR="004A2834">
          <w:rPr>
            <w:rFonts w:asciiTheme="minorHAnsi" w:eastAsiaTheme="minorEastAsia" w:hAnsiTheme="minorHAnsi" w:cstheme="minorBidi"/>
            <w:lang w:val="en-CA" w:eastAsia="en-CA"/>
          </w:rPr>
          <w:tab/>
        </w:r>
        <w:r w:rsidR="004A2834" w:rsidRPr="006E2488">
          <w:rPr>
            <w:rStyle w:val="Hyperlink"/>
          </w:rPr>
          <w:t>System Configuration</w:t>
        </w:r>
        <w:r w:rsidR="004A2834">
          <w:rPr>
            <w:webHidden/>
          </w:rPr>
          <w:tab/>
        </w:r>
        <w:r w:rsidR="004A2834">
          <w:rPr>
            <w:webHidden/>
          </w:rPr>
          <w:fldChar w:fldCharType="begin"/>
        </w:r>
        <w:r w:rsidR="004A2834">
          <w:rPr>
            <w:webHidden/>
          </w:rPr>
          <w:instrText xml:space="preserve"> PAGEREF _Toc43973864 \h </w:instrText>
        </w:r>
        <w:r w:rsidR="004A2834">
          <w:rPr>
            <w:webHidden/>
          </w:rPr>
        </w:r>
        <w:r w:rsidR="004A2834">
          <w:rPr>
            <w:webHidden/>
          </w:rPr>
          <w:fldChar w:fldCharType="separate"/>
        </w:r>
        <w:r w:rsidR="004A2834">
          <w:rPr>
            <w:webHidden/>
          </w:rPr>
          <w:t>12</w:t>
        </w:r>
        <w:r w:rsidR="004A2834">
          <w:rPr>
            <w:webHidden/>
          </w:rPr>
          <w:fldChar w:fldCharType="end"/>
        </w:r>
      </w:hyperlink>
    </w:p>
    <w:p w14:paraId="6436B954" w14:textId="77777777" w:rsidR="00B71C87" w:rsidRDefault="008E4A25">
      <w:r>
        <w:fldChar w:fldCharType="end"/>
      </w:r>
    </w:p>
    <w:p w14:paraId="2270ABE0" w14:textId="77777777" w:rsidR="00B71C87" w:rsidRDefault="00B71C87"/>
    <w:p w14:paraId="577E7A7A" w14:textId="77777777" w:rsidR="00B71C87" w:rsidRDefault="008E4A25">
      <w:r>
        <w:br w:type="page"/>
      </w:r>
    </w:p>
    <w:p w14:paraId="2A2D8CD0" w14:textId="77777777" w:rsidR="00B71C87" w:rsidRDefault="008E4A25" w:rsidP="00F334F4">
      <w:pPr>
        <w:pStyle w:val="Heading1"/>
      </w:pPr>
      <w:bookmarkStart w:id="3" w:name="_Toc43973842"/>
      <w:r w:rsidRPr="00F334F4">
        <w:lastRenderedPageBreak/>
        <w:t>General</w:t>
      </w:r>
      <w:bookmarkEnd w:id="3"/>
    </w:p>
    <w:p w14:paraId="307FD005" w14:textId="77777777" w:rsidR="00B71C87" w:rsidRDefault="008E4A25">
      <w:pPr>
        <w:pStyle w:val="Heading2"/>
      </w:pPr>
      <w:bookmarkStart w:id="4" w:name="_Toc43973843"/>
      <w:r>
        <w:t>System Summary</w:t>
      </w:r>
      <w:bookmarkEnd w:id="4"/>
    </w:p>
    <w:p w14:paraId="325C1C18" w14:textId="0E2AD9B9" w:rsidR="00B71C87" w:rsidRDefault="00713D79">
      <w:r>
        <w:t>The contractor shall install</w:t>
      </w:r>
      <w:r w:rsidR="00616911">
        <w:t xml:space="preserve"> software-</w:t>
      </w:r>
      <w:r w:rsidR="00F21F88">
        <w:t>configurable input/output (I</w:t>
      </w:r>
      <w:r w:rsidR="00616911">
        <w:t>/</w:t>
      </w:r>
      <w:r>
        <w:t xml:space="preserve">O) modules for the purposes of </w:t>
      </w:r>
      <w:r w:rsidR="00F21F88">
        <w:t>integrating</w:t>
      </w:r>
      <w:r>
        <w:t xml:space="preserve"> multiple devices, including security sensors, alarm devices, safety equipment, </w:t>
      </w:r>
      <w:r w:rsidR="00616911">
        <w:t>cameras, and other devices that drive output relays or are managed via dry-contact inputs</w:t>
      </w:r>
      <w:r w:rsidR="008E4A25">
        <w:t>.</w:t>
      </w:r>
    </w:p>
    <w:p w14:paraId="12AE9B1D" w14:textId="0637D365" w:rsidR="00B71C87" w:rsidRDefault="008E4A25">
      <w:r>
        <w:t xml:space="preserve">The </w:t>
      </w:r>
      <w:r w:rsidR="00616911">
        <w:t>I/O modules</w:t>
      </w:r>
      <w:r>
        <w:t xml:space="preserve"> shall consist of easy-to-install </w:t>
      </w:r>
      <w:r w:rsidR="00616911">
        <w:t>boards whose number of available input/output points can be expanded through the use of add-on modules</w:t>
      </w:r>
      <w:r>
        <w:t>.</w:t>
      </w:r>
    </w:p>
    <w:p w14:paraId="4F816B92" w14:textId="4C8A19A9" w:rsidR="00B71C87" w:rsidRDefault="008E4A25">
      <w:r>
        <w:t xml:space="preserve">The </w:t>
      </w:r>
      <w:r w:rsidR="00616911">
        <w:t>I/O modules</w:t>
      </w:r>
      <w:r w:rsidR="00D4516D">
        <w:t xml:space="preserve"> shall be capable of communicating alarms from </w:t>
      </w:r>
      <w:proofErr w:type="spellStart"/>
      <w:r w:rsidR="00D4516D">
        <w:t>Senstar’s</w:t>
      </w:r>
      <w:proofErr w:type="spellEnd"/>
      <w:r w:rsidR="00D4516D">
        <w:t xml:space="preserve"> Silver Network family of networked security sensors as well as being </w:t>
      </w:r>
      <w:r>
        <w:t>integrated into the facility’s Security Management System</w:t>
      </w:r>
      <w:r w:rsidR="00BE0F1B">
        <w:t xml:space="preserve"> (SMS)</w:t>
      </w:r>
      <w:r>
        <w:t xml:space="preserve">. </w:t>
      </w:r>
    </w:p>
    <w:p w14:paraId="3308972F" w14:textId="77777777" w:rsidR="00B71C87" w:rsidRDefault="008E4A25">
      <w:pPr>
        <w:pStyle w:val="Heading2"/>
      </w:pPr>
      <w:bookmarkStart w:id="5" w:name="_Toc43973844"/>
      <w:r>
        <w:t>Submittals</w:t>
      </w:r>
      <w:bookmarkEnd w:id="5"/>
    </w:p>
    <w:p w14:paraId="6B9CA310" w14:textId="77777777" w:rsidR="00B71C87" w:rsidRDefault="008E4A25" w:rsidP="00C3483A">
      <w:pPr>
        <w:pStyle w:val="Heading3"/>
      </w:pPr>
      <w:r w:rsidRPr="00C3483A">
        <w:t>Contractor</w:t>
      </w:r>
      <w:r>
        <w:t xml:space="preserve"> submittals to the facility owner shall include the following as a minimum:</w:t>
      </w:r>
    </w:p>
    <w:p w14:paraId="73289778" w14:textId="77777777" w:rsidR="00B71C87" w:rsidRDefault="008E4A25" w:rsidP="00C3483A">
      <w:pPr>
        <w:pStyle w:val="Heading4"/>
      </w:pPr>
      <w:r>
        <w:t xml:space="preserve">Site </w:t>
      </w:r>
      <w:r w:rsidRPr="00C3483A">
        <w:t>conditions</w:t>
      </w:r>
      <w:r>
        <w:t xml:space="preserve"> report as per article </w:t>
      </w:r>
      <w:r w:rsidR="00103AD2">
        <w:fldChar w:fldCharType="begin"/>
      </w:r>
      <w:r w:rsidR="00103AD2">
        <w:instrText xml:space="preserve"> REF _Ref369857267 \w  \* MERGEFORMAT </w:instrText>
      </w:r>
      <w:r w:rsidR="00103AD2">
        <w:fldChar w:fldCharType="separate"/>
      </w:r>
      <w:r w:rsidR="0078373A">
        <w:t>3.1</w:t>
      </w:r>
      <w:r w:rsidR="00103AD2">
        <w:fldChar w:fldCharType="end"/>
      </w:r>
    </w:p>
    <w:p w14:paraId="7747BDC4" w14:textId="28A4CA3F" w:rsidR="00B71C87" w:rsidRDefault="008E4A25" w:rsidP="00C3483A">
      <w:pPr>
        <w:pStyle w:val="Heading4"/>
      </w:pPr>
      <w:r>
        <w:t>Configuration</w:t>
      </w:r>
      <w:r w:rsidR="00616911">
        <w:t xml:space="preserve"> </w:t>
      </w:r>
      <w:r>
        <w:t>settings</w:t>
      </w:r>
      <w:r w:rsidR="00616911">
        <w:t xml:space="preserve"> </w:t>
      </w:r>
      <w:r>
        <w:t xml:space="preserve">for each </w:t>
      </w:r>
      <w:r w:rsidR="00616911">
        <w:t>I/O module</w:t>
      </w:r>
      <w:r>
        <w:t xml:space="preserve"> in the system after installation and </w:t>
      </w:r>
      <w:r w:rsidR="00616911">
        <w:t>configuration</w:t>
      </w:r>
      <w:r>
        <w:t xml:space="preserve"> are complete as per article </w:t>
      </w:r>
      <w:r w:rsidR="00103AD2">
        <w:fldChar w:fldCharType="begin"/>
      </w:r>
      <w:r w:rsidR="00103AD2">
        <w:instrText xml:space="preserve"> REF _Ref369857274 \w  \* MERGEFORMAT </w:instrText>
      </w:r>
      <w:r w:rsidR="00103AD2">
        <w:fldChar w:fldCharType="separate"/>
      </w:r>
      <w:r w:rsidR="0078373A">
        <w:t>3.1</w:t>
      </w:r>
      <w:r w:rsidR="00103AD2">
        <w:fldChar w:fldCharType="end"/>
      </w:r>
    </w:p>
    <w:p w14:paraId="16480D0E" w14:textId="7E263687" w:rsidR="00B71C87" w:rsidRDefault="008E4A25" w:rsidP="00C3483A">
      <w:pPr>
        <w:pStyle w:val="Heading4"/>
      </w:pPr>
      <w:r>
        <w:t xml:space="preserve">All manufacturer-supplied software required for the </w:t>
      </w:r>
      <w:r w:rsidR="00616911">
        <w:t>configuration</w:t>
      </w:r>
      <w:r>
        <w:t xml:space="preserve"> and operation of the </w:t>
      </w:r>
      <w:r w:rsidR="00616911">
        <w:t>I/O modules</w:t>
      </w:r>
      <w:r>
        <w:t>.</w:t>
      </w:r>
    </w:p>
    <w:p w14:paraId="65298782" w14:textId="77777777" w:rsidR="00B71C87" w:rsidRDefault="008E4A25">
      <w:pPr>
        <w:pStyle w:val="Heading2"/>
      </w:pPr>
      <w:bookmarkStart w:id="6" w:name="_Toc43973845"/>
      <w:r>
        <w:t>Spares</w:t>
      </w:r>
      <w:bookmarkEnd w:id="6"/>
    </w:p>
    <w:p w14:paraId="054073A0" w14:textId="77777777" w:rsidR="00B71C87" w:rsidRDefault="008E4A25" w:rsidP="00C3483A">
      <w:pPr>
        <w:pStyle w:val="Heading3"/>
      </w:pPr>
      <w:r>
        <w:t>The contractor shall deliver to the facility owner spare system components.</w:t>
      </w:r>
    </w:p>
    <w:p w14:paraId="14A07C19" w14:textId="77777777" w:rsidR="00B71C87" w:rsidRDefault="008E4A25" w:rsidP="00C3483A">
      <w:pPr>
        <w:pStyle w:val="Heading3"/>
      </w:pPr>
      <w:r>
        <w:t>For each system component, spares consisting of least one unit or 10% of the number that comprise the system, whichever is greater, shall be provided.</w:t>
      </w:r>
    </w:p>
    <w:p w14:paraId="6BC57CAF" w14:textId="77777777" w:rsidR="00B71C87" w:rsidRDefault="008E4A25">
      <w:pPr>
        <w:pStyle w:val="Heading2"/>
      </w:pPr>
      <w:bookmarkStart w:id="7" w:name="_Toc43973846"/>
      <w:r>
        <w:t>Warranty</w:t>
      </w:r>
      <w:bookmarkEnd w:id="7"/>
    </w:p>
    <w:p w14:paraId="124D28DB" w14:textId="6FD3E909" w:rsidR="00B71C87" w:rsidRDefault="008E4A25" w:rsidP="00C3483A">
      <w:pPr>
        <w:pStyle w:val="Heading3"/>
      </w:pPr>
      <w:r>
        <w:t xml:space="preserve">The product shall be under warranty for a minimum of </w:t>
      </w:r>
      <w:r w:rsidR="00820B05">
        <w:t>three</w:t>
      </w:r>
      <w:r>
        <w:t xml:space="preserve"> years from the date of </w:t>
      </w:r>
      <w:r w:rsidR="0082188F">
        <w:t>shipment</w:t>
      </w:r>
      <w:r>
        <w:t>.</w:t>
      </w:r>
    </w:p>
    <w:p w14:paraId="352526F6" w14:textId="1B7E58BD" w:rsidR="00B71C87" w:rsidRDefault="008E4A25" w:rsidP="00C3483A">
      <w:pPr>
        <w:pStyle w:val="Heading3"/>
      </w:pPr>
      <w:r>
        <w:t>The supplier shall make available replacement components</w:t>
      </w:r>
      <w:r w:rsidR="0082188F">
        <w:t xml:space="preserve"> and </w:t>
      </w:r>
      <w:r>
        <w:t xml:space="preserve">parts or </w:t>
      </w:r>
      <w:r w:rsidR="0082188F">
        <w:t xml:space="preserve">equivalent </w:t>
      </w:r>
      <w:r>
        <w:t>assemblies for a minimum of 10 years from the date of purchase.</w:t>
      </w:r>
    </w:p>
    <w:p w14:paraId="6D547731" w14:textId="77777777" w:rsidR="00B71C87" w:rsidRDefault="008E4A25">
      <w:pPr>
        <w:pStyle w:val="Heading2"/>
      </w:pPr>
      <w:bookmarkStart w:id="8" w:name="_Toc43973847"/>
      <w:r>
        <w:t>References</w:t>
      </w:r>
      <w:bookmarkEnd w:id="8"/>
    </w:p>
    <w:p w14:paraId="5C6D8C1C" w14:textId="77777777" w:rsidR="00B71C87" w:rsidRDefault="008E4A25" w:rsidP="00C3483A">
      <w:pPr>
        <w:pStyle w:val="Heading3"/>
        <w:rPr>
          <w:lang w:val="en-CA"/>
        </w:rPr>
      </w:pPr>
      <w:r>
        <w:t xml:space="preserve">Abbreviations and acronyms: </w:t>
      </w:r>
      <w:r>
        <w:rPr>
          <w:lang w:val="en-CA"/>
        </w:rPr>
        <w:t>The following acronyms and abbreviations are used in this document:</w:t>
      </w:r>
    </w:p>
    <w:p w14:paraId="4E31BC09" w14:textId="0A9E370A" w:rsidR="0078388E" w:rsidRPr="0078388E" w:rsidRDefault="0078388E" w:rsidP="00C3483A">
      <w:pPr>
        <w:pStyle w:val="Heading4"/>
        <w:rPr>
          <w:lang w:val="en-CA"/>
        </w:rPr>
      </w:pPr>
      <w:r>
        <w:t xml:space="preserve">DIN: </w:t>
      </w:r>
      <w:proofErr w:type="spellStart"/>
      <w:r w:rsidR="004F3AFE">
        <w:rPr>
          <w:lang w:val="en-CA"/>
        </w:rPr>
        <w:t>Deutsches</w:t>
      </w:r>
      <w:proofErr w:type="spellEnd"/>
      <w:r w:rsidR="004F3AFE">
        <w:rPr>
          <w:lang w:val="en-CA"/>
        </w:rPr>
        <w:t xml:space="preserve"> </w:t>
      </w:r>
      <w:proofErr w:type="spellStart"/>
      <w:r w:rsidR="004F3AFE">
        <w:rPr>
          <w:lang w:val="en-CA"/>
        </w:rPr>
        <w:t>Institut</w:t>
      </w:r>
      <w:proofErr w:type="spellEnd"/>
      <w:r w:rsidR="004F3AFE">
        <w:rPr>
          <w:lang w:val="en-CA"/>
        </w:rPr>
        <w:t xml:space="preserve"> </w:t>
      </w:r>
      <w:proofErr w:type="spellStart"/>
      <w:r w:rsidR="004F3AFE">
        <w:rPr>
          <w:lang w:val="en-CA"/>
        </w:rPr>
        <w:t>für</w:t>
      </w:r>
      <w:proofErr w:type="spellEnd"/>
      <w:r w:rsidR="004F3AFE">
        <w:rPr>
          <w:lang w:val="en-CA"/>
        </w:rPr>
        <w:t xml:space="preserve"> </w:t>
      </w:r>
      <w:proofErr w:type="spellStart"/>
      <w:r w:rsidR="004F3AFE">
        <w:rPr>
          <w:lang w:val="en-CA"/>
        </w:rPr>
        <w:t>Normung</w:t>
      </w:r>
      <w:proofErr w:type="spellEnd"/>
    </w:p>
    <w:p w14:paraId="71A4EB01" w14:textId="257EFDFE" w:rsidR="00B71C87" w:rsidRDefault="00067235" w:rsidP="00C3483A">
      <w:pPr>
        <w:pStyle w:val="Heading4"/>
      </w:pPr>
      <w:r>
        <w:t>I/O</w:t>
      </w:r>
      <w:r w:rsidR="008E4A25">
        <w:t xml:space="preserve">: </w:t>
      </w:r>
      <w:proofErr w:type="spellStart"/>
      <w:r>
        <w:t>Input/Output</w:t>
      </w:r>
      <w:proofErr w:type="spellEnd"/>
    </w:p>
    <w:p w14:paraId="5ED88796" w14:textId="77777777" w:rsidR="00B71C87" w:rsidRDefault="008E4A25" w:rsidP="00C3483A">
      <w:pPr>
        <w:pStyle w:val="Heading4"/>
      </w:pPr>
      <w:r>
        <w:t>MTBF: Mean Time Between Failures</w:t>
      </w:r>
    </w:p>
    <w:p w14:paraId="33D67A02" w14:textId="690736C4" w:rsidR="00B71C87" w:rsidRDefault="008E4A25" w:rsidP="00C3483A">
      <w:pPr>
        <w:pStyle w:val="Heading4"/>
      </w:pPr>
      <w:r>
        <w:t xml:space="preserve">MTTR: Mean Time </w:t>
      </w:r>
      <w:proofErr w:type="gramStart"/>
      <w:r>
        <w:t>To</w:t>
      </w:r>
      <w:proofErr w:type="gramEnd"/>
      <w:r>
        <w:t xml:space="preserve"> Replace</w:t>
      </w:r>
    </w:p>
    <w:p w14:paraId="54CCFD41" w14:textId="149A19DC" w:rsidR="00BE0F1B" w:rsidRDefault="00BE0F1B" w:rsidP="00C3483A">
      <w:pPr>
        <w:pStyle w:val="Heading4"/>
      </w:pPr>
      <w:r>
        <w:t>SMS: Security Management System</w:t>
      </w:r>
    </w:p>
    <w:p w14:paraId="76DEBC33" w14:textId="3A1E0DEB" w:rsidR="00BE0F1B" w:rsidRDefault="00BE0F1B" w:rsidP="00C3483A">
      <w:pPr>
        <w:pStyle w:val="Heading4"/>
      </w:pPr>
      <w:r>
        <w:lastRenderedPageBreak/>
        <w:t>VMS: Video Management System</w:t>
      </w:r>
    </w:p>
    <w:p w14:paraId="70DD68AF" w14:textId="77777777" w:rsidR="00B71C87" w:rsidRDefault="008E4A25" w:rsidP="00C3483A">
      <w:pPr>
        <w:pStyle w:val="Heading3"/>
      </w:pPr>
      <w:r>
        <w:t xml:space="preserve">Reference Standards: </w:t>
      </w:r>
      <w:r>
        <w:rPr>
          <w:lang w:val="en-CA"/>
        </w:rPr>
        <w:t>The following regulatory and industry standards are referenced in this document:</w:t>
      </w:r>
    </w:p>
    <w:p w14:paraId="79060871" w14:textId="2D205F71" w:rsidR="00B71C87" w:rsidRDefault="008E4A25" w:rsidP="00C3483A">
      <w:pPr>
        <w:pStyle w:val="Heading4"/>
      </w:pPr>
      <w:r w:rsidRPr="00C3483A">
        <w:t>Federal</w:t>
      </w:r>
      <w:r>
        <w:t xml:space="preserve"> Communications Commission: FCC 47 CFR Part 15, Subpart B requirements for Class </w:t>
      </w:r>
      <w:r w:rsidR="00F1703E">
        <w:t>B</w:t>
      </w:r>
      <w:r w:rsidR="00F334F4">
        <w:t xml:space="preserve"> devices</w:t>
      </w:r>
    </w:p>
    <w:p w14:paraId="777ED574" w14:textId="14BD0CD5" w:rsidR="00B71C87" w:rsidRDefault="008E4A25" w:rsidP="00C3483A">
      <w:pPr>
        <w:pStyle w:val="Heading4"/>
      </w:pPr>
      <w:r>
        <w:t>Industry Canada ICES-003, Issue 4 r</w:t>
      </w:r>
      <w:r w:rsidR="00F334F4">
        <w:t>equirements for Class A devices</w:t>
      </w:r>
    </w:p>
    <w:p w14:paraId="79A23142" w14:textId="77777777" w:rsidR="0070662B" w:rsidRDefault="008E4A25" w:rsidP="00C3483A">
      <w:pPr>
        <w:pStyle w:val="Heading4"/>
      </w:pPr>
      <w:r>
        <w:t xml:space="preserve">CE standards: </w:t>
      </w:r>
    </w:p>
    <w:p w14:paraId="598F387C" w14:textId="48EDD829" w:rsidR="0070662B" w:rsidRDefault="008E4A25" w:rsidP="0070662B">
      <w:pPr>
        <w:pStyle w:val="Heading5"/>
      </w:pPr>
      <w:r>
        <w:t>EN 61000-6-4</w:t>
      </w:r>
      <w:r w:rsidR="0070662B">
        <w:t>:2007</w:t>
      </w:r>
      <w:r>
        <w:t>/A1: 2011 (Part 6-4: Generic standards - Emission standard for industrial environments)</w:t>
      </w:r>
    </w:p>
    <w:p w14:paraId="3F1D17E9" w14:textId="77777777" w:rsidR="003F5C4E" w:rsidRDefault="008E4A25" w:rsidP="0070662B">
      <w:pPr>
        <w:pStyle w:val="Heading5"/>
      </w:pPr>
      <w:r>
        <w:t>EN 50130-4:</w:t>
      </w:r>
      <w:r w:rsidR="0070662B">
        <w:t>1995 + A1, 1998 + A2:2003</w:t>
      </w:r>
      <w:r>
        <w:t xml:space="preserve"> (Alarm systems - Part 4: Electromagnetic compatibility - Product family standard: Immunity requirements for components of fire, intruder, hold up, CCTV, access control and social alarm systems)</w:t>
      </w:r>
    </w:p>
    <w:p w14:paraId="57CFAD76" w14:textId="3D922C1B" w:rsidR="00B71C87" w:rsidRDefault="008E4A25" w:rsidP="0070662B">
      <w:pPr>
        <w:pStyle w:val="Heading5"/>
      </w:pPr>
      <w:r>
        <w:t xml:space="preserve"> Restriction of Hazardous Substances Directive 201</w:t>
      </w:r>
      <w:r w:rsidR="00E60E12">
        <w:t>7</w:t>
      </w:r>
      <w:r>
        <w:t>/</w:t>
      </w:r>
      <w:r w:rsidR="00E60E12">
        <w:t>2102</w:t>
      </w:r>
      <w:r>
        <w:t>/EU (RoHS2)</w:t>
      </w:r>
    </w:p>
    <w:p w14:paraId="553E7E7A" w14:textId="407FF9E3" w:rsidR="00B71C87" w:rsidRDefault="008E4A25" w:rsidP="00C3483A">
      <w:pPr>
        <w:pStyle w:val="Heading4"/>
      </w:pPr>
      <w:r>
        <w:t>International Organization for Standardization: ISO 9001:20</w:t>
      </w:r>
      <w:r w:rsidR="00EA2855">
        <w:t>15</w:t>
      </w:r>
    </w:p>
    <w:p w14:paraId="2A9BBB01" w14:textId="148CBBF3" w:rsidR="00B71C87" w:rsidRDefault="008E4A25" w:rsidP="00C3483A">
      <w:pPr>
        <w:pStyle w:val="Heading4"/>
      </w:pPr>
      <w:r>
        <w:t xml:space="preserve">European Union Regulation 1907/2006: Registration, Evaluation, </w:t>
      </w:r>
      <w:r w:rsidR="0082188F">
        <w:t>Authorization</w:t>
      </w:r>
      <w:r>
        <w:t xml:space="preserve"> and Restriction of Chemicals (REACH)</w:t>
      </w:r>
    </w:p>
    <w:p w14:paraId="3361DA00" w14:textId="77777777" w:rsidR="00B71C87" w:rsidRDefault="008E4A25">
      <w:pPr>
        <w:rPr>
          <w:lang w:val="en-CA"/>
        </w:rPr>
      </w:pPr>
      <w:r>
        <w:br w:type="page"/>
      </w:r>
    </w:p>
    <w:p w14:paraId="4BF4F429" w14:textId="77777777" w:rsidR="00B71C87" w:rsidRDefault="008E4A25" w:rsidP="00F334F4">
      <w:pPr>
        <w:pStyle w:val="Heading1"/>
      </w:pPr>
      <w:bookmarkStart w:id="9" w:name="_Toc43973848"/>
      <w:r>
        <w:lastRenderedPageBreak/>
        <w:t>Products</w:t>
      </w:r>
      <w:bookmarkEnd w:id="9"/>
    </w:p>
    <w:p w14:paraId="0F47B1A6" w14:textId="3C766D05" w:rsidR="00B71C87" w:rsidRDefault="00067235">
      <w:pPr>
        <w:pStyle w:val="Heading2"/>
      </w:pPr>
      <w:bookmarkStart w:id="10" w:name="_Toc43973849"/>
      <w:r>
        <w:t>Software-Configura</w:t>
      </w:r>
      <w:r w:rsidR="00CF133F">
        <w:t>ble</w:t>
      </w:r>
      <w:r>
        <w:t xml:space="preserve"> I/O Module</w:t>
      </w:r>
      <w:r w:rsidR="00CF133F">
        <w:t>s</w:t>
      </w:r>
      <w:bookmarkEnd w:id="10"/>
    </w:p>
    <w:p w14:paraId="4C76DE3C" w14:textId="18DDEC54" w:rsidR="00B71C87" w:rsidRDefault="00067235" w:rsidP="00C3483A">
      <w:pPr>
        <w:pStyle w:val="Heading3"/>
      </w:pPr>
      <w:r>
        <w:t>The contractor shall supply software-configura</w:t>
      </w:r>
      <w:r w:rsidR="00D4516D">
        <w:t>ble, expandable</w:t>
      </w:r>
      <w:r>
        <w:t xml:space="preserve"> I/O modules</w:t>
      </w:r>
      <w:r w:rsidR="00D4516D">
        <w:t xml:space="preserve">. </w:t>
      </w:r>
    </w:p>
    <w:p w14:paraId="07386EBB" w14:textId="79E2C939" w:rsidR="00B71C87" w:rsidRDefault="00067235" w:rsidP="00C3483A">
      <w:pPr>
        <w:pStyle w:val="Heading3"/>
      </w:pPr>
      <w:r>
        <w:t xml:space="preserve">The I/O modules shall be capable of </w:t>
      </w:r>
      <w:r w:rsidR="00D4516D">
        <w:t xml:space="preserve">communicating over the network with </w:t>
      </w:r>
      <w:proofErr w:type="spellStart"/>
      <w:r w:rsidR="00D4516D">
        <w:t>Senstar’s</w:t>
      </w:r>
      <w:proofErr w:type="spellEnd"/>
      <w:r w:rsidR="00D4516D">
        <w:t xml:space="preserve"> Silver Network family of security sensors.</w:t>
      </w:r>
    </w:p>
    <w:p w14:paraId="1AFCA1A0" w14:textId="77777777" w:rsidR="00B71C87" w:rsidRDefault="008E4A25">
      <w:pPr>
        <w:pStyle w:val="Heading2"/>
      </w:pPr>
      <w:bookmarkStart w:id="11" w:name="_Toc43973850"/>
      <w:r>
        <w:t>Manufacturers</w:t>
      </w:r>
      <w:bookmarkEnd w:id="11"/>
    </w:p>
    <w:p w14:paraId="68D1389C" w14:textId="50265979" w:rsidR="00B71C87" w:rsidRDefault="008E4A25" w:rsidP="00C3483A">
      <w:pPr>
        <w:pStyle w:val="Heading3"/>
      </w:pPr>
      <w:r>
        <w:t xml:space="preserve">The </w:t>
      </w:r>
      <w:proofErr w:type="spellStart"/>
      <w:r w:rsidR="00067235">
        <w:t>UltraLink</w:t>
      </w:r>
      <w:proofErr w:type="spellEnd"/>
      <w:r>
        <w:t xml:space="preserve">™ system from </w:t>
      </w:r>
      <w:proofErr w:type="spellStart"/>
      <w:r>
        <w:t>Senstar</w:t>
      </w:r>
      <w:proofErr w:type="spellEnd"/>
      <w:r>
        <w:t xml:space="preserve"> Corporation (www.senstar.com) meets the requirements stated in this document.</w:t>
      </w:r>
    </w:p>
    <w:p w14:paraId="3D75AF6F" w14:textId="77777777" w:rsidR="00B71C87" w:rsidRDefault="008E4A25">
      <w:pPr>
        <w:pStyle w:val="Heading2"/>
      </w:pPr>
      <w:bookmarkStart w:id="12" w:name="_Toc43973851"/>
      <w:r>
        <w:t>Regulatory Requirements</w:t>
      </w:r>
      <w:bookmarkEnd w:id="12"/>
    </w:p>
    <w:p w14:paraId="66D80B57" w14:textId="77777777" w:rsidR="00B71C87" w:rsidRDefault="008E4A25" w:rsidP="00C3483A">
      <w:pPr>
        <w:pStyle w:val="Heading3"/>
      </w:pPr>
      <w:r>
        <w:t>The system shall comply with the following regulations:</w:t>
      </w:r>
    </w:p>
    <w:p w14:paraId="0937F687" w14:textId="19175202" w:rsidR="00B71C87" w:rsidRDefault="008E4A25" w:rsidP="00C3483A">
      <w:pPr>
        <w:pStyle w:val="Heading4"/>
      </w:pPr>
      <w:r>
        <w:t xml:space="preserve">FCC 47 CFR Part 15, Subpart B requirements for Class </w:t>
      </w:r>
      <w:r w:rsidR="00F1703E">
        <w:t>B</w:t>
      </w:r>
      <w:r>
        <w:t xml:space="preserve"> devices</w:t>
      </w:r>
    </w:p>
    <w:p w14:paraId="42F95E6D" w14:textId="77777777" w:rsidR="00B71C87" w:rsidRDefault="008E4A25" w:rsidP="00C3483A">
      <w:pPr>
        <w:pStyle w:val="Heading4"/>
      </w:pPr>
      <w:r>
        <w:t>CE: EN 61000-6-4/A1: 2011, EN 50130-4: 2011, RoHS2</w:t>
      </w:r>
    </w:p>
    <w:p w14:paraId="73A85D14" w14:textId="77777777" w:rsidR="00B71C87" w:rsidRDefault="008E4A25" w:rsidP="00C3483A">
      <w:pPr>
        <w:pStyle w:val="Heading4"/>
      </w:pPr>
      <w:r>
        <w:t>Industry Canada ICES-003, Issue 4 requirements for Class A devices</w:t>
      </w:r>
    </w:p>
    <w:p w14:paraId="1D07AE2C" w14:textId="77777777" w:rsidR="00B71C87" w:rsidRDefault="008E4A25" w:rsidP="00C3483A">
      <w:pPr>
        <w:pStyle w:val="Heading4"/>
      </w:pPr>
      <w:r>
        <w:t>REACH</w:t>
      </w:r>
    </w:p>
    <w:p w14:paraId="4AB182A9" w14:textId="77777777" w:rsidR="00B71C87" w:rsidRDefault="008E4A25">
      <w:pPr>
        <w:pStyle w:val="Heading2"/>
      </w:pPr>
      <w:bookmarkStart w:id="13" w:name="_Toc43973852"/>
      <w:r>
        <w:t>Manufacturing Quality Requirements</w:t>
      </w:r>
      <w:bookmarkEnd w:id="13"/>
    </w:p>
    <w:p w14:paraId="16EE5B79" w14:textId="3923DBCD" w:rsidR="00B71C87" w:rsidRDefault="008E4A25" w:rsidP="00C3483A">
      <w:pPr>
        <w:pStyle w:val="Heading3"/>
      </w:pPr>
      <w:r>
        <w:t>The manufacturer’s quality management system shall be certified as conforming to ISO 9001:20</w:t>
      </w:r>
      <w:r w:rsidR="00DE069A">
        <w:t>15</w:t>
      </w:r>
      <w:r>
        <w:t>.</w:t>
      </w:r>
    </w:p>
    <w:p w14:paraId="5137EEC6" w14:textId="77777777" w:rsidR="00B71C87" w:rsidRDefault="008E4A25" w:rsidP="00C3483A">
      <w:pPr>
        <w:pStyle w:val="Heading3"/>
      </w:pPr>
      <w:r>
        <w:t>Outdoor system components:</w:t>
      </w:r>
    </w:p>
    <w:p w14:paraId="69CFF626" w14:textId="06D22223" w:rsidR="00B71C87" w:rsidRDefault="008E4A25" w:rsidP="00C3483A">
      <w:pPr>
        <w:pStyle w:val="Heading4"/>
      </w:pPr>
      <w:r>
        <w:t>All electronic modules and assemblies intended for use in outdoor applications shall use conformal coating.</w:t>
      </w:r>
    </w:p>
    <w:p w14:paraId="6A22EFEF" w14:textId="77777777" w:rsidR="00B71C87" w:rsidRDefault="008E4A25" w:rsidP="00C3483A">
      <w:pPr>
        <w:pStyle w:val="Heading4"/>
      </w:pPr>
      <w:r>
        <w:t xml:space="preserve">The modules and assemblies shall be tested during manufacture over their entire operational temperature range on a sample basis. </w:t>
      </w:r>
    </w:p>
    <w:p w14:paraId="595BA5C0" w14:textId="77777777" w:rsidR="00B71C87" w:rsidRDefault="008E4A25">
      <w:pPr>
        <w:pStyle w:val="Heading2"/>
      </w:pPr>
      <w:bookmarkStart w:id="14" w:name="_Toc43973853"/>
      <w:r>
        <w:t>Mechanical Requirements</w:t>
      </w:r>
      <w:bookmarkEnd w:id="14"/>
    </w:p>
    <w:p w14:paraId="5C304D1A" w14:textId="7FF9CEA0" w:rsidR="0078388E" w:rsidRDefault="0078388E" w:rsidP="00C3483A">
      <w:pPr>
        <w:pStyle w:val="Heading3"/>
      </w:pPr>
      <w:r>
        <w:t>Each I/O module shall be mountable on a standard 35</w:t>
      </w:r>
      <w:r w:rsidR="00FA15AA">
        <w:t xml:space="preserve"> </w:t>
      </w:r>
      <w:r>
        <w:t xml:space="preserve">mm </w:t>
      </w:r>
      <w:r w:rsidR="00FA15AA">
        <w:t xml:space="preserve">DIN </w:t>
      </w:r>
      <w:r>
        <w:t>rail.</w:t>
      </w:r>
    </w:p>
    <w:p w14:paraId="39758D10" w14:textId="4F005E59" w:rsidR="0078388E" w:rsidRDefault="0078388E" w:rsidP="00C3483A">
      <w:pPr>
        <w:pStyle w:val="Heading3"/>
      </w:pPr>
      <w:r>
        <w:t>The manufacturer shall provide the facility owner with the option of installing the I/O modules on a swing-out mounting plate designed for installation on a 19-inch rack.</w:t>
      </w:r>
    </w:p>
    <w:p w14:paraId="6298D0D1" w14:textId="4C0A3D57" w:rsidR="0078388E" w:rsidRDefault="008F7927" w:rsidP="00C3483A">
      <w:pPr>
        <w:pStyle w:val="Heading3"/>
      </w:pPr>
      <w:r>
        <w:t>To improve accessibility during installation and maintenance, two-piece pluggable terminal blocks shall be used</w:t>
      </w:r>
      <w:r w:rsidR="003212A1">
        <w:t xml:space="preserve"> on the I/O modules</w:t>
      </w:r>
      <w:r>
        <w:t>.</w:t>
      </w:r>
    </w:p>
    <w:p w14:paraId="7F968406" w14:textId="3119F64A" w:rsidR="003212A1" w:rsidRDefault="008F7927" w:rsidP="00C3483A">
      <w:pPr>
        <w:pStyle w:val="Heading3"/>
      </w:pPr>
      <w:r>
        <w:t xml:space="preserve">The processor I/O module shall detect and indicate if the wiring to any I/O module’s input or inter-module communication connectors is disconnected. </w:t>
      </w:r>
    </w:p>
    <w:p w14:paraId="4331D757" w14:textId="77777777" w:rsidR="00B71C87" w:rsidRDefault="008E4A25">
      <w:pPr>
        <w:pStyle w:val="Heading2"/>
      </w:pPr>
      <w:bookmarkStart w:id="15" w:name="_Toc43973854"/>
      <w:r>
        <w:t>Environmental Requirements</w:t>
      </w:r>
      <w:bookmarkEnd w:id="15"/>
    </w:p>
    <w:p w14:paraId="6A1EEC89" w14:textId="77777777" w:rsidR="00B71C87" w:rsidRDefault="008E4A25" w:rsidP="00C3483A">
      <w:pPr>
        <w:pStyle w:val="Heading3"/>
      </w:pPr>
      <w:r>
        <w:t>Operating range: The processor in its standard enclosure shall operate within specifications under the following environmental conditions:</w:t>
      </w:r>
    </w:p>
    <w:p w14:paraId="3F652BFF" w14:textId="77777777" w:rsidR="00B71C87" w:rsidRDefault="008E4A25" w:rsidP="00C3483A">
      <w:pPr>
        <w:pStyle w:val="Heading4"/>
      </w:pPr>
      <w:r>
        <w:lastRenderedPageBreak/>
        <w:t>Temperature: –40°C to 70°C (–40°F to 158°F)</w:t>
      </w:r>
    </w:p>
    <w:p w14:paraId="2755A284" w14:textId="20335969" w:rsidR="00B71C87" w:rsidRDefault="008E4A25" w:rsidP="00C3483A">
      <w:pPr>
        <w:pStyle w:val="Heading4"/>
      </w:pPr>
      <w:r>
        <w:t xml:space="preserve">Relative humidity: 0% to </w:t>
      </w:r>
      <w:r w:rsidR="005D23BB">
        <w:t>95</w:t>
      </w:r>
      <w:r>
        <w:t>% (</w:t>
      </w:r>
      <w:r w:rsidR="005D23BB">
        <w:t>non-</w:t>
      </w:r>
      <w:r>
        <w:t>condensing)</w:t>
      </w:r>
    </w:p>
    <w:p w14:paraId="58711C76" w14:textId="77777777" w:rsidR="00B71C87" w:rsidRDefault="008E4A25">
      <w:pPr>
        <w:pStyle w:val="Heading2"/>
      </w:pPr>
      <w:bookmarkStart w:id="16" w:name="_Toc43973855"/>
      <w:r>
        <w:t>Reliability and Maintenance Requirements</w:t>
      </w:r>
      <w:bookmarkEnd w:id="16"/>
    </w:p>
    <w:p w14:paraId="12865CB8" w14:textId="32FE802A" w:rsidR="00B71C87" w:rsidRDefault="001942A5" w:rsidP="00C3483A">
      <w:pPr>
        <w:pStyle w:val="Heading3"/>
      </w:pPr>
      <w:r>
        <w:rPr>
          <w:lang w:val="en-CA"/>
        </w:rPr>
        <w:t xml:space="preserve">Each </w:t>
      </w:r>
      <w:r w:rsidR="00DE6C96">
        <w:t>I/O module</w:t>
      </w:r>
      <w:r w:rsidR="008E4A25">
        <w:t xml:space="preserve"> shall have a predicted mean time between failures (MTBF) of greater than 1</w:t>
      </w:r>
      <w:r w:rsidR="00C02054">
        <w:t>1</w:t>
      </w:r>
      <w:r w:rsidR="008E4A25">
        <w:t xml:space="preserve">0,000 hours </w:t>
      </w:r>
      <w:r w:rsidR="00C02054">
        <w:t>based on field service data</w:t>
      </w:r>
      <w:r w:rsidR="008E4A25">
        <w:t xml:space="preserve">. </w:t>
      </w:r>
    </w:p>
    <w:p w14:paraId="479FC520" w14:textId="31CA8FF6" w:rsidR="00B71C87" w:rsidRDefault="008E4A25" w:rsidP="00C3483A">
      <w:pPr>
        <w:pStyle w:val="Heading3"/>
      </w:pPr>
      <w:r>
        <w:t xml:space="preserve">The </w:t>
      </w:r>
      <w:r w:rsidR="00DE6C96">
        <w:t>I/O modules</w:t>
      </w:r>
      <w:r>
        <w:t xml:space="preserve"> shall have a mean time to replace (MTTR) of less than 10 minutes.</w:t>
      </w:r>
    </w:p>
    <w:p w14:paraId="575A4500" w14:textId="7FFA0BAC" w:rsidR="00B71C87" w:rsidRDefault="008E4A25" w:rsidP="00C3483A">
      <w:pPr>
        <w:pStyle w:val="Heading3"/>
      </w:pPr>
      <w:r>
        <w:t xml:space="preserve">The processor </w:t>
      </w:r>
      <w:r w:rsidR="00DE6C96">
        <w:t xml:space="preserve">module </w:t>
      </w:r>
      <w:r>
        <w:t>shall be capable of performing internal self-diagnostic tests of the internal circuitry</w:t>
      </w:r>
      <w:r w:rsidR="00DE6C96">
        <w:t xml:space="preserve"> and any connected I/O modules</w:t>
      </w:r>
      <w:r>
        <w:t>.</w:t>
      </w:r>
    </w:p>
    <w:p w14:paraId="0D046A19" w14:textId="033B2C50" w:rsidR="00B71C87" w:rsidRDefault="008E4A25" w:rsidP="00C3483A">
      <w:pPr>
        <w:pStyle w:val="Heading3"/>
      </w:pPr>
      <w:r>
        <w:t xml:space="preserve">The processor </w:t>
      </w:r>
      <w:r w:rsidR="00DE6C96">
        <w:t xml:space="preserve">module </w:t>
      </w:r>
      <w:r>
        <w:t>firmware shall be field-upgradeable, either locally via a USB connection or over the network.</w:t>
      </w:r>
    </w:p>
    <w:p w14:paraId="7D670B42" w14:textId="77777777" w:rsidR="00B71C87" w:rsidRDefault="008E4A25">
      <w:pPr>
        <w:pStyle w:val="Heading2"/>
      </w:pPr>
      <w:bookmarkStart w:id="17" w:name="_Toc43973856"/>
      <w:r>
        <w:t>Electrical Requirements</w:t>
      </w:r>
      <w:bookmarkEnd w:id="17"/>
    </w:p>
    <w:p w14:paraId="7527DC6F" w14:textId="5C5BD746" w:rsidR="00B71C87" w:rsidRDefault="008E4A25" w:rsidP="00C3483A">
      <w:pPr>
        <w:pStyle w:val="Heading3"/>
      </w:pPr>
      <w:r>
        <w:t xml:space="preserve">Each </w:t>
      </w:r>
      <w:r w:rsidR="008F7927">
        <w:t>I/O</w:t>
      </w:r>
      <w:r>
        <w:t xml:space="preserve"> module shall meet the following electrical requirements:</w:t>
      </w:r>
    </w:p>
    <w:p w14:paraId="1540791A" w14:textId="7140A19E" w:rsidR="00B71C87" w:rsidRDefault="008E4A25" w:rsidP="00C3483A">
      <w:pPr>
        <w:pStyle w:val="Heading4"/>
      </w:pPr>
      <w:r>
        <w:t>Input power source: 1</w:t>
      </w:r>
      <w:r w:rsidR="005E62A2">
        <w:t>2</w:t>
      </w:r>
      <w:r>
        <w:t xml:space="preserve"> to </w:t>
      </w:r>
      <w:r w:rsidR="005E62A2">
        <w:t>48</w:t>
      </w:r>
      <w:r w:rsidR="00F334F4">
        <w:t xml:space="preserve"> V</w:t>
      </w:r>
      <w:r>
        <w:t>DC</w:t>
      </w:r>
    </w:p>
    <w:p w14:paraId="657287C6" w14:textId="479D5214" w:rsidR="00B71C87" w:rsidRDefault="008E4A25" w:rsidP="00C3483A">
      <w:pPr>
        <w:pStyle w:val="Heading4"/>
      </w:pPr>
      <w:r>
        <w:t>Power consumption (</w:t>
      </w:r>
      <w:r w:rsidR="005E62A2">
        <w:t>networked processor module</w:t>
      </w:r>
      <w:r>
        <w:t xml:space="preserve">): </w:t>
      </w:r>
      <w:r w:rsidR="005E62A2">
        <w:t>1.5</w:t>
      </w:r>
      <w:r>
        <w:t>W</w:t>
      </w:r>
    </w:p>
    <w:p w14:paraId="75CFB302" w14:textId="740FDD59" w:rsidR="00B71C87" w:rsidRDefault="008E4A25" w:rsidP="00C3483A">
      <w:pPr>
        <w:pStyle w:val="Heading4"/>
      </w:pPr>
      <w:r>
        <w:t>Power consumption (</w:t>
      </w:r>
      <w:r w:rsidR="005E62A2">
        <w:t>per I/O module</w:t>
      </w:r>
      <w:r>
        <w:t xml:space="preserve">): </w:t>
      </w:r>
      <w:r w:rsidR="005E62A2">
        <w:t>0.6</w:t>
      </w:r>
      <w:r>
        <w:t>W</w:t>
      </w:r>
      <w:r w:rsidR="005E62A2">
        <w:t xml:space="preserve"> (not including any supplied power to connected devices)</w:t>
      </w:r>
    </w:p>
    <w:p w14:paraId="06EF36AF" w14:textId="0BC0BC2A" w:rsidR="008F7927" w:rsidRDefault="008F7927" w:rsidP="00C3483A">
      <w:pPr>
        <w:pStyle w:val="Heading3"/>
      </w:pPr>
      <w:r>
        <w:t>The manufacturer shall provide the facility owner with the option of installing a DIN</w:t>
      </w:r>
      <w:r w:rsidR="00FA15AA">
        <w:t xml:space="preserve"> </w:t>
      </w:r>
      <w:r>
        <w:t>rail power supply to power the I/O modules.</w:t>
      </w:r>
    </w:p>
    <w:p w14:paraId="3C134C23" w14:textId="77777777" w:rsidR="00B71C87" w:rsidRDefault="008E4A25" w:rsidP="00C3483A">
      <w:pPr>
        <w:pStyle w:val="Heading3"/>
      </w:pPr>
      <w:r>
        <w:t>Lightning/surge protection: The processor shall include transient voltage protection to protect the system from lighting strikes or electrical tampering.</w:t>
      </w:r>
    </w:p>
    <w:p w14:paraId="3DF203FC" w14:textId="4AD61B5D" w:rsidR="00B71C87" w:rsidRDefault="008E4A25" w:rsidP="00C3483A">
      <w:pPr>
        <w:pStyle w:val="Heading3"/>
      </w:pPr>
      <w:r>
        <w:t xml:space="preserve">The system shall be capable of having up to </w:t>
      </w:r>
      <w:r w:rsidR="00A52663">
        <w:t>9</w:t>
      </w:r>
      <w:r w:rsidR="005E62A2">
        <w:t xml:space="preserve"> I/O modules </w:t>
      </w:r>
      <w:r>
        <w:t>share power from a single 48V (nominal) power source.</w:t>
      </w:r>
    </w:p>
    <w:p w14:paraId="088FA40E" w14:textId="77777777" w:rsidR="00B71C87" w:rsidRDefault="008E4A25" w:rsidP="00C3483A">
      <w:pPr>
        <w:pStyle w:val="Heading3"/>
      </w:pPr>
      <w:r>
        <w:t>Auxiliary input and output electrical configuration:</w:t>
      </w:r>
    </w:p>
    <w:p w14:paraId="099567D5" w14:textId="77777777" w:rsidR="00B71C87" w:rsidRDefault="008E4A25" w:rsidP="00C3483A">
      <w:pPr>
        <w:pStyle w:val="Heading4"/>
      </w:pPr>
      <w:r>
        <w:t>Output relays: Each relay shall be rated for at least 1A at 30V.</w:t>
      </w:r>
    </w:p>
    <w:p w14:paraId="43BD1971" w14:textId="77777777" w:rsidR="00B71C87" w:rsidRDefault="008E4A25" w:rsidP="00C3483A">
      <w:pPr>
        <w:pStyle w:val="Heading4"/>
      </w:pPr>
      <w:r>
        <w:t>Auxiliary inputs: The values of the supervision resistor(s) for each dry contact input shall be set from the configuration software.</w:t>
      </w:r>
    </w:p>
    <w:p w14:paraId="6CD2AF00" w14:textId="796A2530" w:rsidR="00E54900" w:rsidRDefault="00E54900" w:rsidP="00C3483A">
      <w:pPr>
        <w:pStyle w:val="Heading4"/>
      </w:pPr>
      <w:r>
        <w:t>Open-collector outputs: Up to 48</w:t>
      </w:r>
      <w:r w:rsidR="00F334F4">
        <w:t xml:space="preserve"> V</w:t>
      </w:r>
      <w:r>
        <w:t>DC, 100 mA maximum "on" current.</w:t>
      </w:r>
    </w:p>
    <w:p w14:paraId="4885CD55" w14:textId="3ABA3E29" w:rsidR="00B71C87" w:rsidRDefault="008E4A25" w:rsidP="00C3483A">
      <w:pPr>
        <w:pStyle w:val="Heading3"/>
      </w:pPr>
      <w:r>
        <w:t xml:space="preserve">Any optional communication card connected to the processor </w:t>
      </w:r>
      <w:r w:rsidR="005E62A2">
        <w:t>module</w:t>
      </w:r>
      <w:r>
        <w:t xml:space="preserve"> will be capable of using </w:t>
      </w:r>
      <w:r w:rsidR="00F334F4">
        <w:t>the</w:t>
      </w:r>
      <w:r>
        <w:t xml:space="preserve"> processor’s power source and not require any additional power connections.</w:t>
      </w:r>
    </w:p>
    <w:p w14:paraId="50230215" w14:textId="77777777" w:rsidR="00B71C87" w:rsidRDefault="008E4A25" w:rsidP="00C3483A">
      <w:pPr>
        <w:pStyle w:val="Heading3"/>
      </w:pPr>
      <w:r>
        <w:t>The system shall be capable of being powered via Power-over-Ethernet (PoE) when an Ethernet communications card is installed.</w:t>
      </w:r>
    </w:p>
    <w:p w14:paraId="4A907C47" w14:textId="77777777" w:rsidR="00B71C87" w:rsidRDefault="008E4A25">
      <w:pPr>
        <w:pStyle w:val="Heading2"/>
      </w:pPr>
      <w:bookmarkStart w:id="18" w:name="_Toc43973857"/>
      <w:r>
        <w:t xml:space="preserve">External </w:t>
      </w:r>
      <w:proofErr w:type="spellStart"/>
      <w:r>
        <w:t>Input/Output</w:t>
      </w:r>
      <w:proofErr w:type="spellEnd"/>
      <w:r>
        <w:t xml:space="preserve"> Capabilities</w:t>
      </w:r>
      <w:bookmarkEnd w:id="18"/>
    </w:p>
    <w:p w14:paraId="23FC9C5E" w14:textId="524CA43D" w:rsidR="00B71C87" w:rsidRDefault="008E4A25" w:rsidP="00C3483A">
      <w:pPr>
        <w:pStyle w:val="Heading3"/>
      </w:pPr>
      <w:r>
        <w:t xml:space="preserve">Processor </w:t>
      </w:r>
      <w:r w:rsidR="005955D3">
        <w:t>module</w:t>
      </w:r>
      <w:r>
        <w:t xml:space="preserve">: </w:t>
      </w:r>
    </w:p>
    <w:p w14:paraId="7299DB96" w14:textId="2AA56D50" w:rsidR="00931785" w:rsidRDefault="00931785" w:rsidP="00C3483A">
      <w:pPr>
        <w:pStyle w:val="Heading4"/>
      </w:pPr>
      <w:r>
        <w:t>Input</w:t>
      </w:r>
      <w:r w:rsidR="003212A1">
        <w:t xml:space="preserve"> points</w:t>
      </w:r>
      <w:r>
        <w:t>:</w:t>
      </w:r>
    </w:p>
    <w:p w14:paraId="7A1D2362" w14:textId="31479AE0" w:rsidR="003212A1" w:rsidRPr="00C3483A" w:rsidRDefault="003212A1" w:rsidP="00C3483A">
      <w:pPr>
        <w:pStyle w:val="Heading5"/>
      </w:pPr>
      <w:r>
        <w:lastRenderedPageBreak/>
        <w:t xml:space="preserve">The processor </w:t>
      </w:r>
      <w:r w:rsidR="008B73E2">
        <w:t xml:space="preserve">module </w:t>
      </w:r>
      <w:r>
        <w:t xml:space="preserve">shall have a </w:t>
      </w:r>
      <w:r w:rsidRPr="00C3483A">
        <w:t xml:space="preserve">minimum of eight </w:t>
      </w:r>
      <w:r w:rsidR="008B73E2" w:rsidRPr="00C3483A">
        <w:t xml:space="preserve">dry-contact </w:t>
      </w:r>
      <w:r w:rsidRPr="00C3483A">
        <w:t>input</w:t>
      </w:r>
      <w:r>
        <w:t>s t</w:t>
      </w:r>
      <w:r w:rsidR="008B73E2">
        <w:t>o</w:t>
      </w:r>
      <w:r w:rsidR="008B73E2" w:rsidRPr="008B73E2">
        <w:t xml:space="preserve"> </w:t>
      </w:r>
      <w:r w:rsidR="008B73E2" w:rsidRPr="001D41D1">
        <w:t>accept the indication of alarm conditions detected or generated by third-</w:t>
      </w:r>
      <w:r w:rsidR="008B73E2" w:rsidRPr="00C3483A">
        <w:t>party devices.</w:t>
      </w:r>
    </w:p>
    <w:p w14:paraId="10256796" w14:textId="04DD0FFD" w:rsidR="003212A1" w:rsidRDefault="003212A1" w:rsidP="00C3483A">
      <w:pPr>
        <w:pStyle w:val="Heading5"/>
      </w:pPr>
      <w:r w:rsidRPr="00C3483A">
        <w:t>Each input shall be configurable for normally open (NO) or normally closed (NC) operation</w:t>
      </w:r>
      <w:r>
        <w:t>.</w:t>
      </w:r>
    </w:p>
    <w:p w14:paraId="71AE9ADA" w14:textId="0929E17C" w:rsidR="003212A1" w:rsidRDefault="003212A1" w:rsidP="00C3483A">
      <w:pPr>
        <w:pStyle w:val="Heading5"/>
      </w:pPr>
      <w:r>
        <w:t>Each input shall support configu</w:t>
      </w:r>
      <w:r w:rsidR="00A52663">
        <w:t>r</w:t>
      </w:r>
      <w:r>
        <w:t xml:space="preserve">able supervision types (none, single, double) and </w:t>
      </w:r>
      <w:r w:rsidR="001942A5">
        <w:t xml:space="preserve">programmable supervision </w:t>
      </w:r>
      <w:r>
        <w:t>resistor values.</w:t>
      </w:r>
    </w:p>
    <w:p w14:paraId="73423FE7" w14:textId="56D95412" w:rsidR="003212A1" w:rsidRDefault="008B73E2" w:rsidP="00C3483A">
      <w:pPr>
        <w:pStyle w:val="Heading5"/>
      </w:pPr>
      <w:r>
        <w:t xml:space="preserve">The state </w:t>
      </w:r>
      <w:r w:rsidR="003212A1">
        <w:t>of each input shall be indicated by an on-board LED.</w:t>
      </w:r>
    </w:p>
    <w:p w14:paraId="6447D520" w14:textId="13072616" w:rsidR="003212A1" w:rsidRDefault="003212A1" w:rsidP="00C3483A">
      <w:pPr>
        <w:pStyle w:val="Heading4"/>
      </w:pPr>
      <w:r>
        <w:t>Output points:</w:t>
      </w:r>
    </w:p>
    <w:p w14:paraId="4AE361A2" w14:textId="148FC5CE" w:rsidR="003212A1" w:rsidRDefault="008B73E2" w:rsidP="00C3483A">
      <w:pPr>
        <w:pStyle w:val="Heading5"/>
      </w:pPr>
      <w:r>
        <w:t xml:space="preserve">The processor module </w:t>
      </w:r>
      <w:r w:rsidR="00A52663">
        <w:t xml:space="preserve">shall </w:t>
      </w:r>
      <w:r>
        <w:t>have a minimum of eight Form-C relay outputs to</w:t>
      </w:r>
      <w:r w:rsidRPr="008B73E2">
        <w:t xml:space="preserve"> </w:t>
      </w:r>
      <w:r>
        <w:t xml:space="preserve">signal alarm and supervision conditions to third-party security equipment. </w:t>
      </w:r>
    </w:p>
    <w:p w14:paraId="15126BF3" w14:textId="3134838A" w:rsidR="00B71C87" w:rsidRDefault="008E4A25" w:rsidP="00C3483A">
      <w:pPr>
        <w:pStyle w:val="Heading5"/>
      </w:pPr>
      <w:r>
        <w:t xml:space="preserve">For each relay </w:t>
      </w:r>
      <w:r w:rsidR="008B73E2">
        <w:t>ou</w:t>
      </w:r>
      <w:r w:rsidR="00A52663">
        <w:t>t</w:t>
      </w:r>
      <w:r w:rsidR="008B73E2">
        <w:t xml:space="preserve">put </w:t>
      </w:r>
      <w:r>
        <w:t>it shall be possible to assign one or more conditions from the following list under which the relay will activate:</w:t>
      </w:r>
    </w:p>
    <w:p w14:paraId="7EC417B9" w14:textId="02A1AF98" w:rsidR="00B71C87" w:rsidRDefault="00E309D1" w:rsidP="00C3483A">
      <w:pPr>
        <w:pStyle w:val="Heading6"/>
      </w:pPr>
      <w:r>
        <w:t>A</w:t>
      </w:r>
      <w:r w:rsidR="008E4A25" w:rsidRPr="00C3483A">
        <w:t>larm</w:t>
      </w:r>
      <w:r w:rsidR="008E4A25">
        <w:t xml:space="preserve"> </w:t>
      </w:r>
      <w:r>
        <w:t xml:space="preserve">condition reported from </w:t>
      </w:r>
      <w:proofErr w:type="spellStart"/>
      <w:r>
        <w:t>Senstar</w:t>
      </w:r>
      <w:proofErr w:type="spellEnd"/>
      <w:r>
        <w:t xml:space="preserve"> Silver Network sensor</w:t>
      </w:r>
    </w:p>
    <w:p w14:paraId="140AA907" w14:textId="78033AE5" w:rsidR="00E54900" w:rsidRDefault="00E54900" w:rsidP="00C3483A">
      <w:pPr>
        <w:pStyle w:val="Heading6"/>
      </w:pPr>
      <w:r>
        <w:t>Supervision alarm of input</w:t>
      </w:r>
    </w:p>
    <w:p w14:paraId="38630009" w14:textId="77777777" w:rsidR="00B71C87" w:rsidRDefault="008E4A25" w:rsidP="00C3483A">
      <w:pPr>
        <w:pStyle w:val="Heading6"/>
      </w:pPr>
      <w:r>
        <w:t>Input power fail</w:t>
      </w:r>
    </w:p>
    <w:p w14:paraId="49052638" w14:textId="77777777" w:rsidR="00B71C87" w:rsidRDefault="008E4A25" w:rsidP="00C3483A">
      <w:pPr>
        <w:pStyle w:val="Heading6"/>
      </w:pPr>
      <w:r>
        <w:t>Internal hardware fault</w:t>
      </w:r>
    </w:p>
    <w:p w14:paraId="65982116" w14:textId="77777777" w:rsidR="00B71C87" w:rsidRDefault="008E4A25" w:rsidP="00C3483A">
      <w:pPr>
        <w:pStyle w:val="Heading6"/>
      </w:pPr>
      <w:r>
        <w:t>Fail safe (assert on total loss of power)</w:t>
      </w:r>
    </w:p>
    <w:p w14:paraId="52719A27" w14:textId="1DBCC135" w:rsidR="00E54900" w:rsidRDefault="00E54900" w:rsidP="00E54900">
      <w:pPr>
        <w:pStyle w:val="Heading5"/>
      </w:pPr>
      <w:r>
        <w:t>The following user-configurable activation types shall be supported: latching</w:t>
      </w:r>
      <w:r w:rsidR="00776E13">
        <w:t>, flash, and pulse.</w:t>
      </w:r>
    </w:p>
    <w:p w14:paraId="6D4CC446" w14:textId="3512B036" w:rsidR="00776E13" w:rsidRDefault="00776E13" w:rsidP="00E54900">
      <w:pPr>
        <w:pStyle w:val="Heading5"/>
      </w:pPr>
      <w:r>
        <w:t>The state of each output shall be indicated by an on-board LED.</w:t>
      </w:r>
    </w:p>
    <w:p w14:paraId="5BA00360" w14:textId="1736F1A7" w:rsidR="00E54900" w:rsidRDefault="00E54900" w:rsidP="00E54900">
      <w:pPr>
        <w:pStyle w:val="Heading4"/>
      </w:pPr>
      <w:r>
        <w:t>Expansion</w:t>
      </w:r>
      <w:r w:rsidR="00112BCB">
        <w:t xml:space="preserve"> modules</w:t>
      </w:r>
      <w:r>
        <w:t xml:space="preserve">: Each processor module shall support at least </w:t>
      </w:r>
      <w:r w:rsidR="001942A5">
        <w:t>8</w:t>
      </w:r>
      <w:r>
        <w:t xml:space="preserve"> input, relay-output, or collector-output expansion modules in order to add additional control points.</w:t>
      </w:r>
    </w:p>
    <w:p w14:paraId="61458F86" w14:textId="492A887B" w:rsidR="005955D3" w:rsidRDefault="005955D3" w:rsidP="00C3483A">
      <w:pPr>
        <w:pStyle w:val="Heading3"/>
      </w:pPr>
      <w:r>
        <w:t>Input module:</w:t>
      </w:r>
    </w:p>
    <w:p w14:paraId="2EF75CBA" w14:textId="491DE1D8" w:rsidR="00E54900" w:rsidRDefault="00E54900" w:rsidP="00E54900">
      <w:pPr>
        <w:pStyle w:val="Heading4"/>
      </w:pPr>
      <w:r>
        <w:t xml:space="preserve">An optional input module shall provide a minimum of 32 dry-contact inputs. </w:t>
      </w:r>
    </w:p>
    <w:p w14:paraId="34BDD34C" w14:textId="1E749A34" w:rsidR="00E54900" w:rsidRDefault="00E54900" w:rsidP="00E54900">
      <w:pPr>
        <w:pStyle w:val="Heading4"/>
      </w:pPr>
      <w:r>
        <w:t>The inputs shall support the same functionality as the input used on the processor module.</w:t>
      </w:r>
    </w:p>
    <w:p w14:paraId="449FFFF1" w14:textId="2E9744F7" w:rsidR="005955D3" w:rsidRDefault="005955D3" w:rsidP="00C3483A">
      <w:pPr>
        <w:pStyle w:val="Heading3"/>
      </w:pPr>
      <w:r>
        <w:t>Relay output module:</w:t>
      </w:r>
    </w:p>
    <w:p w14:paraId="0464BD21" w14:textId="48C334CA" w:rsidR="00E54900" w:rsidRDefault="00E54900" w:rsidP="00E54900">
      <w:pPr>
        <w:pStyle w:val="Heading4"/>
      </w:pPr>
      <w:r>
        <w:t>An optional relay output module shall provide a minimum of 32 Form-C relay outputs.</w:t>
      </w:r>
    </w:p>
    <w:p w14:paraId="31B6B179" w14:textId="0A6BCFBF" w:rsidR="00E54900" w:rsidRDefault="00E54900" w:rsidP="00E54900">
      <w:pPr>
        <w:pStyle w:val="Heading4"/>
      </w:pPr>
      <w:r>
        <w:t>The r</w:t>
      </w:r>
      <w:r w:rsidR="00A52663">
        <w:t>e</w:t>
      </w:r>
      <w:r>
        <w:t>l</w:t>
      </w:r>
      <w:r w:rsidR="00A52663">
        <w:t>a</w:t>
      </w:r>
      <w:r>
        <w:t>y output points shall support the same functionality as the relay outputs used on the processor module.</w:t>
      </w:r>
    </w:p>
    <w:p w14:paraId="7FC2BEE8" w14:textId="54BB0B1A" w:rsidR="005955D3" w:rsidRDefault="00A52663" w:rsidP="00C3483A">
      <w:pPr>
        <w:pStyle w:val="Heading3"/>
      </w:pPr>
      <w:r>
        <w:t>Open-c</w:t>
      </w:r>
      <w:r w:rsidR="005955D3">
        <w:t>ollector output module:</w:t>
      </w:r>
    </w:p>
    <w:p w14:paraId="7A4C8B43" w14:textId="326E4252" w:rsidR="00E54900" w:rsidRDefault="00E54900" w:rsidP="00E54900">
      <w:pPr>
        <w:pStyle w:val="Heading4"/>
      </w:pPr>
      <w:r>
        <w:t xml:space="preserve">An optional collector-output module shall provide a minimum of 32 open-collector outputs. </w:t>
      </w:r>
    </w:p>
    <w:p w14:paraId="0EC83A38" w14:textId="2D6D3AB2" w:rsidR="00E54900" w:rsidRDefault="00E54900" w:rsidP="00E54900">
      <w:pPr>
        <w:pStyle w:val="Heading4"/>
      </w:pPr>
      <w:r>
        <w:lastRenderedPageBreak/>
        <w:t>The source voltage for the outputs shall be provided externally, with four source voltage connections being routed to eight open-collector high-side contacts.</w:t>
      </w:r>
    </w:p>
    <w:p w14:paraId="28FEC7FB" w14:textId="514AC325" w:rsidR="00776E13" w:rsidRPr="001D41D1" w:rsidRDefault="00776E13" w:rsidP="00E54900">
      <w:pPr>
        <w:pStyle w:val="Heading4"/>
      </w:pPr>
      <w:r>
        <w:t>The state of each output shall be indicated by an on-board LED.</w:t>
      </w:r>
    </w:p>
    <w:p w14:paraId="72929916" w14:textId="77777777" w:rsidR="00B71C87" w:rsidRDefault="008E4A25">
      <w:pPr>
        <w:pStyle w:val="Heading2"/>
      </w:pPr>
      <w:bookmarkStart w:id="19" w:name="_Toc43973858"/>
      <w:r>
        <w:t>Installation and Configuration Capabilities</w:t>
      </w:r>
      <w:bookmarkEnd w:id="19"/>
    </w:p>
    <w:p w14:paraId="7D07E204" w14:textId="315F85F2" w:rsidR="00B71C87" w:rsidRDefault="008E4A25" w:rsidP="00C3483A">
      <w:pPr>
        <w:pStyle w:val="Heading3"/>
      </w:pPr>
      <w:r>
        <w:t xml:space="preserve">The </w:t>
      </w:r>
      <w:r w:rsidR="00776E13">
        <w:t>I/O modules</w:t>
      </w:r>
      <w:r>
        <w:t xml:space="preserve"> shall be simple to install and shall have the following characteristics, as a minimum:</w:t>
      </w:r>
    </w:p>
    <w:p w14:paraId="3276AB90" w14:textId="4999BE22" w:rsidR="00B71C87" w:rsidRDefault="008E4A25" w:rsidP="00C3483A">
      <w:pPr>
        <w:pStyle w:val="Heading4"/>
      </w:pPr>
      <w:r>
        <w:t xml:space="preserve">The </w:t>
      </w:r>
      <w:r w:rsidR="00776E13">
        <w:t>I/O modules shall be DIN-rail mountable.</w:t>
      </w:r>
    </w:p>
    <w:p w14:paraId="2B958EA6" w14:textId="2CCD8492" w:rsidR="00B71C87" w:rsidRDefault="008E4A25" w:rsidP="00C3483A">
      <w:pPr>
        <w:pStyle w:val="Heading4"/>
      </w:pPr>
      <w:r>
        <w:t>All electrica</w:t>
      </w:r>
      <w:r w:rsidR="00776E13">
        <w:t>l connections to each I/O module</w:t>
      </w:r>
      <w:r>
        <w:t xml:space="preserve"> shall be made with screw-terminals on removable connectors.</w:t>
      </w:r>
    </w:p>
    <w:p w14:paraId="238E4757" w14:textId="77777777" w:rsidR="00B71C87" w:rsidRDefault="008E4A25" w:rsidP="00C3483A">
      <w:pPr>
        <w:pStyle w:val="Heading3"/>
      </w:pPr>
      <w:r>
        <w:t>The system shall support the following configuration and calibration features:</w:t>
      </w:r>
    </w:p>
    <w:p w14:paraId="2453AC50" w14:textId="6363AFED" w:rsidR="00B71C87" w:rsidRDefault="008E4A25" w:rsidP="00C3483A">
      <w:pPr>
        <w:pStyle w:val="Heading4"/>
      </w:pPr>
      <w:r>
        <w:t xml:space="preserve">The processor </w:t>
      </w:r>
      <w:r w:rsidR="004714F7">
        <w:t xml:space="preserve">module </w:t>
      </w:r>
      <w:r>
        <w:t>shall provide a standard USB connector for attachment to a PC running Microsoft Windows.</w:t>
      </w:r>
    </w:p>
    <w:p w14:paraId="390630C6" w14:textId="77777777" w:rsidR="00B71C87" w:rsidRDefault="008E4A25" w:rsidP="00C3483A">
      <w:pPr>
        <w:pStyle w:val="Heading4"/>
      </w:pPr>
      <w:r>
        <w:t>Configuration and calibration shall be performed via a Windows-based software tool with a graphical user interface.</w:t>
      </w:r>
    </w:p>
    <w:p w14:paraId="1E2CEEBC" w14:textId="4CF49809" w:rsidR="00B71C87" w:rsidRDefault="004714F7" w:rsidP="00C3483A">
      <w:pPr>
        <w:pStyle w:val="Heading4"/>
      </w:pPr>
      <w:r>
        <w:t xml:space="preserve">Configuration </w:t>
      </w:r>
      <w:r w:rsidR="008E4A25">
        <w:t xml:space="preserve">settings shall be capable of being stored in a computer file for record keeping purposes and available for reuse when configuring additional or replacement </w:t>
      </w:r>
      <w:r>
        <w:t>I/O modules</w:t>
      </w:r>
      <w:r w:rsidR="008E4A25">
        <w:t>.</w:t>
      </w:r>
    </w:p>
    <w:p w14:paraId="4E3C8147" w14:textId="77777777" w:rsidR="00CD04FC" w:rsidRDefault="00CD04FC" w:rsidP="00CD04FC">
      <w:pPr>
        <w:pStyle w:val="Heading2"/>
      </w:pPr>
      <w:bookmarkStart w:id="20" w:name="_Toc43973859"/>
      <w:r>
        <w:t>Networking Capabilities</w:t>
      </w:r>
      <w:bookmarkEnd w:id="20"/>
    </w:p>
    <w:p w14:paraId="02384F79" w14:textId="77777777" w:rsidR="00CD04FC" w:rsidRDefault="00CD04FC" w:rsidP="00CD04FC">
      <w:pPr>
        <w:pStyle w:val="Heading3"/>
      </w:pPr>
      <w:r>
        <w:t>The system shall be capable of operating in a networked configuration:</w:t>
      </w:r>
    </w:p>
    <w:p w14:paraId="454D7DCB" w14:textId="3F7E1B93" w:rsidR="00CD04FC" w:rsidRDefault="00CD04FC" w:rsidP="00CD04FC">
      <w:pPr>
        <w:pStyle w:val="Heading4"/>
      </w:pPr>
      <w:r>
        <w:t>The processor module shall support a networked configuration. The processor shall use the Silver Network protocol to convey alarm, status, and supervision information to the Network Manager</w:t>
      </w:r>
      <w:r w:rsidR="00502187">
        <w:t xml:space="preserve"> software</w:t>
      </w:r>
      <w:r>
        <w:t>. The Network Manager shall then communicate the information to a security management system.</w:t>
      </w:r>
    </w:p>
    <w:p w14:paraId="4830F98E" w14:textId="77777777" w:rsidR="00CD04FC" w:rsidRDefault="00CD04FC" w:rsidP="00CD04FC">
      <w:pPr>
        <w:pStyle w:val="Heading3"/>
      </w:pPr>
      <w:r>
        <w:t>Networked processor self-test: It shall be possible to initiate a self-test over the network.</w:t>
      </w:r>
    </w:p>
    <w:p w14:paraId="19E29946" w14:textId="77777777" w:rsidR="00CD04FC" w:rsidRDefault="00CD04FC" w:rsidP="00CD04FC">
      <w:pPr>
        <w:pStyle w:val="Heading3"/>
      </w:pPr>
      <w:r>
        <w:t>Network communications and integration:</w:t>
      </w:r>
    </w:p>
    <w:p w14:paraId="251EE05B" w14:textId="77777777" w:rsidR="00CD04FC" w:rsidRDefault="00CD04FC" w:rsidP="00CD04FC">
      <w:pPr>
        <w:pStyle w:val="Heading4"/>
      </w:pPr>
      <w:r>
        <w:t>The processor module shall be capable of communicating alarm, status, and configuration information to and from a central location over an integrated sensor network.</w:t>
      </w:r>
    </w:p>
    <w:p w14:paraId="2C91D94D" w14:textId="77777777" w:rsidR="00CD04FC" w:rsidRDefault="00CD04FC" w:rsidP="00CD04FC">
      <w:pPr>
        <w:pStyle w:val="Heading4"/>
      </w:pPr>
      <w:r>
        <w:t>The processor module shall support the following physical media options for communication with the integrated sensor network:</w:t>
      </w:r>
    </w:p>
    <w:p w14:paraId="724A3B6E" w14:textId="77777777" w:rsidR="00CD04FC" w:rsidRDefault="00CD04FC" w:rsidP="00CD04FC">
      <w:pPr>
        <w:pStyle w:val="Heading5"/>
      </w:pPr>
      <w:r>
        <w:t>EIA-422 cable</w:t>
      </w:r>
    </w:p>
    <w:p w14:paraId="24D6F0B6" w14:textId="77777777" w:rsidR="00CD04FC" w:rsidRDefault="00CD04FC" w:rsidP="00CD04FC">
      <w:pPr>
        <w:pStyle w:val="Heading5"/>
      </w:pPr>
      <w:r>
        <w:t>Multi-mode fiber optic cable</w:t>
      </w:r>
    </w:p>
    <w:p w14:paraId="64DD326F" w14:textId="77777777" w:rsidR="00CD04FC" w:rsidRDefault="00CD04FC" w:rsidP="00CD04FC">
      <w:pPr>
        <w:pStyle w:val="Heading5"/>
      </w:pPr>
      <w:r>
        <w:t>Single-mode fiber optic cable</w:t>
      </w:r>
    </w:p>
    <w:p w14:paraId="14E4AEA2" w14:textId="77777777" w:rsidR="00CD04FC" w:rsidRDefault="00CD04FC" w:rsidP="00CD04FC">
      <w:pPr>
        <w:pStyle w:val="Heading5"/>
      </w:pPr>
      <w:r>
        <w:t>Ethernet with POE capability</w:t>
      </w:r>
    </w:p>
    <w:p w14:paraId="240C3C51" w14:textId="77777777" w:rsidR="00CD04FC" w:rsidRDefault="00CD04FC" w:rsidP="00CD04FC">
      <w:pPr>
        <w:pStyle w:val="Heading4"/>
      </w:pPr>
      <w:r>
        <w:lastRenderedPageBreak/>
        <w:t>The processor modules shall be capable of being connected in a loop configuration and of being polled from both ends of the loop to provide redundant communication paths to each processor.</w:t>
      </w:r>
    </w:p>
    <w:p w14:paraId="0472C380" w14:textId="77777777" w:rsidR="00CD04FC" w:rsidRDefault="00CD04FC" w:rsidP="00CD04FC">
      <w:pPr>
        <w:pStyle w:val="Heading4"/>
      </w:pPr>
      <w:r>
        <w:t xml:space="preserve">The processor module shall maintain an internal alarm queue in the event of a network interruption. The alarms shall automatically be resent when network connectivity is re-established. </w:t>
      </w:r>
    </w:p>
    <w:p w14:paraId="41C2B155" w14:textId="77777777" w:rsidR="00CD04FC" w:rsidRDefault="00CD04FC" w:rsidP="00CD04FC">
      <w:pPr>
        <w:pStyle w:val="Heading4"/>
      </w:pPr>
      <w:r>
        <w:t>Networking of auxiliary input and output relays:</w:t>
      </w:r>
    </w:p>
    <w:p w14:paraId="6519EDAE" w14:textId="77777777" w:rsidR="00CD04FC" w:rsidRDefault="00CD04FC" w:rsidP="00CD04FC">
      <w:pPr>
        <w:pStyle w:val="Heading5"/>
      </w:pPr>
      <w:r>
        <w:t>The status of the I/O modules’ dry contact inputs shall be communicated over the integrated sensor network.</w:t>
      </w:r>
    </w:p>
    <w:p w14:paraId="2EC02A51" w14:textId="77777777" w:rsidR="00CD04FC" w:rsidRDefault="00CD04FC" w:rsidP="00CD04FC">
      <w:pPr>
        <w:pStyle w:val="Heading5"/>
      </w:pPr>
      <w:r>
        <w:t xml:space="preserve">The processor’s output relays shall be controllable over the integrated sensor network. </w:t>
      </w:r>
    </w:p>
    <w:p w14:paraId="1D2433CE" w14:textId="77777777" w:rsidR="00CD04FC" w:rsidRDefault="00CD04FC" w:rsidP="00CD04FC">
      <w:pPr>
        <w:pStyle w:val="Heading3"/>
      </w:pPr>
      <w:r>
        <w:t>Network management:</w:t>
      </w:r>
    </w:p>
    <w:p w14:paraId="10E4192A" w14:textId="77777777" w:rsidR="00CD04FC" w:rsidRDefault="00CD04FC" w:rsidP="00CD04FC">
      <w:pPr>
        <w:pStyle w:val="Heading4"/>
      </w:pPr>
      <w:r>
        <w:t>The I/O modules shall include network management software to manage the communications over the network. The network management software shall be capable of running on a standard Windows PC.</w:t>
      </w:r>
    </w:p>
    <w:p w14:paraId="19A623FF" w14:textId="77777777" w:rsidR="00CD04FC" w:rsidRDefault="00CD04FC" w:rsidP="00CD04FC">
      <w:pPr>
        <w:pStyle w:val="Heading4"/>
      </w:pPr>
      <w:r>
        <w:t>The I/O modules network management software shall provide the following interfaces:</w:t>
      </w:r>
    </w:p>
    <w:p w14:paraId="15BFA8E8" w14:textId="3198B6C6" w:rsidR="00CD04FC" w:rsidRDefault="00CD04FC" w:rsidP="00CD04FC">
      <w:pPr>
        <w:pStyle w:val="Heading5"/>
      </w:pPr>
      <w:r>
        <w:t xml:space="preserve">TCP/IP-based interface for communicating alarm, status, and configuration data to and from </w:t>
      </w:r>
      <w:r w:rsidR="00FA15AA">
        <w:t>s</w:t>
      </w:r>
      <w:r>
        <w:t xml:space="preserve">ecurity </w:t>
      </w:r>
      <w:r w:rsidR="00FA15AA">
        <w:t xml:space="preserve">and video </w:t>
      </w:r>
      <w:r>
        <w:t xml:space="preserve">management systems. The system supplier shall furnish complete documentation of this interface to facilitate integration with </w:t>
      </w:r>
      <w:r w:rsidR="00FA15AA">
        <w:t>S</w:t>
      </w:r>
      <w:r>
        <w:t>ecurity</w:t>
      </w:r>
      <w:r w:rsidR="00FA15AA">
        <w:t xml:space="preserve"> or Video</w:t>
      </w:r>
      <w:r>
        <w:t xml:space="preserve"> </w:t>
      </w:r>
      <w:r w:rsidR="00FA15AA">
        <w:t>M</w:t>
      </w:r>
      <w:r>
        <w:t xml:space="preserve">anagement </w:t>
      </w:r>
      <w:r w:rsidR="00FA15AA">
        <w:t>S</w:t>
      </w:r>
      <w:r>
        <w:t>ystems</w:t>
      </w:r>
      <w:r w:rsidR="00FA15AA">
        <w:t xml:space="preserve"> (SMS/VMS)</w:t>
      </w:r>
      <w:r>
        <w:t>.</w:t>
      </w:r>
    </w:p>
    <w:p w14:paraId="74BF99C1" w14:textId="77777777" w:rsidR="00CD04FC" w:rsidRDefault="00CD04FC" w:rsidP="00CD04FC">
      <w:pPr>
        <w:pStyle w:val="Heading5"/>
      </w:pPr>
      <w:r>
        <w:t>Serial and TCP/IP-based interfaces for communicating alarm, status, and configuration data to and from security management systems using configurable, ASCII-based text strings.</w:t>
      </w:r>
    </w:p>
    <w:p w14:paraId="757A7A45" w14:textId="77777777" w:rsidR="00CD04FC" w:rsidRDefault="00CD04FC" w:rsidP="00CD04FC">
      <w:pPr>
        <w:pStyle w:val="Heading5"/>
      </w:pPr>
      <w:r>
        <w:t>TCP/IP-based interface to be used by the system’s PC-based software configuration tool to allow configuration of all I/O modules settings to be done from a central location.</w:t>
      </w:r>
    </w:p>
    <w:p w14:paraId="76B19E54" w14:textId="77777777" w:rsidR="00CD04FC" w:rsidRDefault="00CD04FC" w:rsidP="00CD04FC">
      <w:pPr>
        <w:pStyle w:val="Heading5"/>
        <w:numPr>
          <w:ilvl w:val="0"/>
          <w:numId w:val="0"/>
        </w:numPr>
        <w:ind w:left="2520"/>
      </w:pPr>
    </w:p>
    <w:p w14:paraId="6402B6F5" w14:textId="6B7C4E65" w:rsidR="00B0272B" w:rsidRDefault="00647CF5">
      <w:pPr>
        <w:pStyle w:val="Heading2"/>
      </w:pPr>
      <w:bookmarkStart w:id="21" w:name="_Toc43973860"/>
      <w:r>
        <w:t>Direct-Connect Mode (“Network Manager Mode”)</w:t>
      </w:r>
      <w:bookmarkEnd w:id="21"/>
    </w:p>
    <w:p w14:paraId="1B555A47" w14:textId="066F9F4A" w:rsidR="003A5504" w:rsidRDefault="003A5504" w:rsidP="00FC329B">
      <w:pPr>
        <w:pStyle w:val="Heading3"/>
      </w:pPr>
      <w:r>
        <w:t xml:space="preserve">The I/O </w:t>
      </w:r>
      <w:r w:rsidR="00647CF5">
        <w:t>system</w:t>
      </w:r>
      <w:r>
        <w:t xml:space="preserve"> shall support a mode </w:t>
      </w:r>
      <w:r w:rsidR="00FA15AA">
        <w:t>in which</w:t>
      </w:r>
      <w:r>
        <w:t xml:space="preserve"> the processor </w:t>
      </w:r>
      <w:r w:rsidR="00FA15AA">
        <w:t>module</w:t>
      </w:r>
      <w:r>
        <w:t xml:space="preserve"> </w:t>
      </w:r>
      <w:r w:rsidR="00FA15AA">
        <w:t>communicates</w:t>
      </w:r>
      <w:r>
        <w:t xml:space="preserve"> directly </w:t>
      </w:r>
      <w:r w:rsidR="00FA15AA">
        <w:t>with</w:t>
      </w:r>
      <w:r>
        <w:t xml:space="preserve"> perimeter intrusion detection sensors</w:t>
      </w:r>
      <w:r w:rsidR="00FA15AA">
        <w:t xml:space="preserve">. Alarms generated by the sensors shall activate the relay outputs on the </w:t>
      </w:r>
      <w:r>
        <w:t>I/O modules</w:t>
      </w:r>
      <w:r w:rsidR="00647CF5">
        <w:t xml:space="preserve"> without requiring any additional hardware or software</w:t>
      </w:r>
      <w:r w:rsidR="00FA15AA">
        <w:t>.</w:t>
      </w:r>
    </w:p>
    <w:p w14:paraId="427E9862" w14:textId="6E7E1D9F" w:rsidR="00647CF5" w:rsidRDefault="00647CF5" w:rsidP="00FC329B">
      <w:pPr>
        <w:pStyle w:val="Heading3"/>
      </w:pPr>
      <w:r>
        <w:t xml:space="preserve">The </w:t>
      </w:r>
      <w:r w:rsidR="003B1816">
        <w:t xml:space="preserve">I/O system shall support the following communication interfaces between the processor module and the perimeter intrusion detection sensors while </w:t>
      </w:r>
      <w:r>
        <w:t>in direct-connect mode:</w:t>
      </w:r>
    </w:p>
    <w:p w14:paraId="745B258D" w14:textId="77777777" w:rsidR="00647CF5" w:rsidRDefault="00647CF5" w:rsidP="00647CF5">
      <w:pPr>
        <w:pStyle w:val="Heading5"/>
      </w:pPr>
      <w:r>
        <w:t>EIA-422 cable</w:t>
      </w:r>
    </w:p>
    <w:p w14:paraId="67BC8456" w14:textId="77777777" w:rsidR="00647CF5" w:rsidRDefault="00647CF5" w:rsidP="00647CF5">
      <w:pPr>
        <w:pStyle w:val="Heading5"/>
      </w:pPr>
      <w:r>
        <w:t>Multi-mode fiber optic cable</w:t>
      </w:r>
    </w:p>
    <w:p w14:paraId="462DC9A8" w14:textId="77777777" w:rsidR="00647CF5" w:rsidRDefault="00647CF5" w:rsidP="00647CF5">
      <w:pPr>
        <w:pStyle w:val="Heading5"/>
      </w:pPr>
      <w:r>
        <w:lastRenderedPageBreak/>
        <w:t>Single-mode fiber optic cable</w:t>
      </w:r>
    </w:p>
    <w:p w14:paraId="1F236BA0" w14:textId="60BC6346" w:rsidR="00647CF5" w:rsidRDefault="00647CF5" w:rsidP="00FC329B">
      <w:pPr>
        <w:pStyle w:val="Heading3"/>
      </w:pPr>
      <w:r>
        <w:t xml:space="preserve">The </w:t>
      </w:r>
      <w:r w:rsidR="003B1816">
        <w:t xml:space="preserve">I/O system’s </w:t>
      </w:r>
      <w:r>
        <w:t>direct-connect mode shall support at least 8 perimeter intrusion detection sensors and at least 136 output relays</w:t>
      </w:r>
      <w:r w:rsidR="003B1816">
        <w:t xml:space="preserve"> on the I/O modules.</w:t>
      </w:r>
    </w:p>
    <w:p w14:paraId="6CDF121D" w14:textId="1EE3463B" w:rsidR="00502187" w:rsidRDefault="00502187" w:rsidP="00502187">
      <w:pPr>
        <w:pStyle w:val="Heading3"/>
      </w:pPr>
      <w:r>
        <w:t>The I/O system shall be capable of being connected to the perimeter intrusion detection sensors in a loop configuration</w:t>
      </w:r>
      <w:r w:rsidR="003B1816">
        <w:t xml:space="preserve">, in which the system </w:t>
      </w:r>
      <w:r>
        <w:t>poll</w:t>
      </w:r>
      <w:r w:rsidR="003B1816">
        <w:t>s</w:t>
      </w:r>
      <w:r>
        <w:t xml:space="preserve"> from both ends of the loop </w:t>
      </w:r>
      <w:r w:rsidR="003B1816">
        <w:t xml:space="preserve">in order </w:t>
      </w:r>
      <w:r>
        <w:t>to provide redundant communication paths to each sensor.</w:t>
      </w:r>
    </w:p>
    <w:p w14:paraId="1430AE47" w14:textId="1944348A" w:rsidR="00647CF5" w:rsidRDefault="00647CF5" w:rsidP="00FC329B">
      <w:pPr>
        <w:pStyle w:val="Heading3"/>
      </w:pPr>
      <w:r>
        <w:t xml:space="preserve">The direct-connect mode of operation shall </w:t>
      </w:r>
      <w:r w:rsidR="00F95E72">
        <w:t>support</w:t>
      </w:r>
      <w:r>
        <w:t xml:space="preserve"> </w:t>
      </w:r>
      <w:r w:rsidR="00F95E72">
        <w:t xml:space="preserve">configurable </w:t>
      </w:r>
      <w:r>
        <w:t xml:space="preserve">relay </w:t>
      </w:r>
      <w:r w:rsidR="00F95E72">
        <w:t xml:space="preserve">output </w:t>
      </w:r>
      <w:r>
        <w:t>activations for sensor alarms, hardware faults, and supervision conditions</w:t>
      </w:r>
      <w:r w:rsidR="00F95E72">
        <w:t>.</w:t>
      </w:r>
    </w:p>
    <w:p w14:paraId="314E81D6" w14:textId="77777777" w:rsidR="00B71C87" w:rsidRDefault="008E4A25" w:rsidP="00F334F4">
      <w:pPr>
        <w:pStyle w:val="Heading1"/>
      </w:pPr>
      <w:bookmarkStart w:id="22" w:name="_Toc43973861"/>
      <w:r>
        <w:lastRenderedPageBreak/>
        <w:t>Execution</w:t>
      </w:r>
      <w:bookmarkEnd w:id="22"/>
    </w:p>
    <w:p w14:paraId="2BD7B421" w14:textId="77777777" w:rsidR="00B71C87" w:rsidRDefault="008E4A25">
      <w:pPr>
        <w:pStyle w:val="Heading2"/>
      </w:pPr>
      <w:bookmarkStart w:id="23" w:name="_Toc285116223"/>
      <w:bookmarkStart w:id="24" w:name="_Ref369857267"/>
      <w:bookmarkStart w:id="25" w:name="_Toc43973862"/>
      <w:r>
        <w:t>Site Assessment</w:t>
      </w:r>
      <w:bookmarkEnd w:id="23"/>
      <w:bookmarkEnd w:id="24"/>
      <w:bookmarkEnd w:id="25"/>
    </w:p>
    <w:p w14:paraId="0D26111C" w14:textId="2CCFEB9C" w:rsidR="00B71C87" w:rsidRDefault="008E4A25" w:rsidP="00C3483A">
      <w:pPr>
        <w:pStyle w:val="Heading3"/>
      </w:pPr>
      <w:r>
        <w:t xml:space="preserve">Before installation begins, the installation contractor shall provide a report to the facility’s owner documenting any site conditions that may prevent the </w:t>
      </w:r>
      <w:r w:rsidR="00D61CE7">
        <w:t>I/O modules</w:t>
      </w:r>
      <w:r>
        <w:t xml:space="preserve"> from operating satisfactorily. </w:t>
      </w:r>
    </w:p>
    <w:p w14:paraId="086B1EB7" w14:textId="77777777" w:rsidR="00B71C87" w:rsidRDefault="008E4A25">
      <w:pPr>
        <w:pStyle w:val="Heading2"/>
      </w:pPr>
      <w:bookmarkStart w:id="26" w:name="_Toc285116224"/>
      <w:bookmarkStart w:id="27" w:name="_Toc43973863"/>
      <w:r>
        <w:t>System Installation</w:t>
      </w:r>
      <w:bookmarkEnd w:id="26"/>
      <w:bookmarkEnd w:id="27"/>
    </w:p>
    <w:p w14:paraId="10860729" w14:textId="77777777" w:rsidR="00B71C87" w:rsidRDefault="008E4A25" w:rsidP="00C3483A">
      <w:pPr>
        <w:pStyle w:val="Heading3"/>
      </w:pPr>
      <w:r>
        <w:t>The system shall be installed in accordance with the manufacturer’s recommended procedures as defined in the manufacturer’s documentation for the system.</w:t>
      </w:r>
    </w:p>
    <w:p w14:paraId="00CD579C" w14:textId="363C021D" w:rsidR="00B71C87" w:rsidRDefault="008E4A25">
      <w:pPr>
        <w:pStyle w:val="Heading2"/>
        <w:numPr>
          <w:ilvl w:val="1"/>
          <w:numId w:val="6"/>
        </w:numPr>
      </w:pPr>
      <w:bookmarkStart w:id="28" w:name="_Toc285116225"/>
      <w:bookmarkStart w:id="29" w:name="_Ref369857274"/>
      <w:bookmarkStart w:id="30" w:name="_Toc43973864"/>
      <w:r>
        <w:t xml:space="preserve">System </w:t>
      </w:r>
      <w:bookmarkEnd w:id="28"/>
      <w:bookmarkEnd w:id="29"/>
      <w:r w:rsidR="00A52663">
        <w:t>Configuration</w:t>
      </w:r>
      <w:bookmarkEnd w:id="30"/>
    </w:p>
    <w:p w14:paraId="7726C4A1" w14:textId="66272FD1" w:rsidR="00B71C87" w:rsidRDefault="008E4A25" w:rsidP="00C3483A">
      <w:pPr>
        <w:pStyle w:val="Heading3"/>
      </w:pPr>
      <w:bookmarkStart w:id="31" w:name="_Ref369857233"/>
      <w:r>
        <w:t>The installation contracto</w:t>
      </w:r>
      <w:r w:rsidR="00D61CE7">
        <w:t>r shall submit to the Owner the</w:t>
      </w:r>
      <w:r>
        <w:t xml:space="preserve"> configuration settings for each </w:t>
      </w:r>
      <w:r w:rsidR="00D61CE7">
        <w:t>I/O module</w:t>
      </w:r>
      <w:r>
        <w:t xml:space="preserve"> in the system.</w:t>
      </w:r>
      <w:bookmarkEnd w:id="31"/>
    </w:p>
    <w:p w14:paraId="012B9664" w14:textId="44D65156" w:rsidR="00B71C87" w:rsidRPr="003C4A26" w:rsidRDefault="00B71C87" w:rsidP="003C4A26">
      <w:pPr>
        <w:tabs>
          <w:tab w:val="left" w:pos="4021"/>
        </w:tabs>
      </w:pPr>
    </w:p>
    <w:sectPr w:rsidR="00B71C87" w:rsidRPr="003C4A26" w:rsidSect="00916E3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051A" w14:textId="77777777" w:rsidR="003418CC" w:rsidRDefault="003418CC">
      <w:r>
        <w:separator/>
      </w:r>
    </w:p>
  </w:endnote>
  <w:endnote w:type="continuationSeparator" w:id="0">
    <w:p w14:paraId="71FA23C7" w14:textId="77777777" w:rsidR="003418CC" w:rsidRDefault="0034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1648" w14:textId="03EB5E8F" w:rsidR="00D61CE7" w:rsidRDefault="004A2834" w:rsidP="00916E3B">
    <w:pPr>
      <w:pStyle w:val="Footer"/>
      <w:tabs>
        <w:tab w:val="clear" w:pos="9360"/>
        <w:tab w:val="right" w:pos="10065"/>
      </w:tabs>
      <w:ind w:right="-23"/>
    </w:pPr>
    <w:r>
      <w:t>June 2020</w:t>
    </w:r>
    <w:r w:rsidR="00D61CE7">
      <w:tab/>
    </w:r>
    <w:r w:rsidR="00D61CE7">
      <w:tab/>
      <w:t xml:space="preserve">Page </w:t>
    </w:r>
    <w:r w:rsidR="00D61CE7">
      <w:fldChar w:fldCharType="begin"/>
    </w:r>
    <w:r w:rsidR="00D61CE7">
      <w:instrText xml:space="preserve"> PAGE   \* MERGEFORMAT </w:instrText>
    </w:r>
    <w:r w:rsidR="00D61CE7">
      <w:fldChar w:fldCharType="separate"/>
    </w:r>
    <w:r w:rsidR="00C02054">
      <w:rPr>
        <w:noProof/>
      </w:rPr>
      <w:t>5</w:t>
    </w:r>
    <w:r w:rsidR="00D61CE7">
      <w:rPr>
        <w:noProof/>
      </w:rPr>
      <w:fldChar w:fldCharType="end"/>
    </w:r>
    <w:r w:rsidR="00D61CE7">
      <w:t xml:space="preserve"> of </w:t>
    </w:r>
    <w:r w:rsidR="00103AD2">
      <w:fldChar w:fldCharType="begin"/>
    </w:r>
    <w:r w:rsidR="00103AD2">
      <w:instrText xml:space="preserve"> DOCPROPERTY  Pages  \* MERGEFORMAT </w:instrText>
    </w:r>
    <w:r w:rsidR="00103AD2">
      <w:fldChar w:fldCharType="separate"/>
    </w:r>
    <w:r w:rsidR="0078373A">
      <w:t>12</w:t>
    </w:r>
    <w:r w:rsidR="00103AD2">
      <w:fldChar w:fldCharType="end"/>
    </w:r>
    <w:r w:rsidR="00D61CE7">
      <w:tab/>
    </w:r>
    <w:r w:rsidR="00103AD2">
      <w:t>AE-00-001-IN-R1-E-06/20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AD32" w14:textId="77777777" w:rsidR="003418CC" w:rsidRDefault="003418CC">
      <w:r>
        <w:separator/>
      </w:r>
    </w:p>
  </w:footnote>
  <w:footnote w:type="continuationSeparator" w:id="0">
    <w:p w14:paraId="46DDCB30" w14:textId="77777777" w:rsidR="003418CC" w:rsidRDefault="0034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09B0" w14:textId="77777777" w:rsidR="00D61CE7" w:rsidRDefault="00D61CE7">
    <w:pPr>
      <w:pStyle w:val="Header"/>
      <w:rPr>
        <w:b/>
      </w:rPr>
    </w:pPr>
    <w:r>
      <w:t>Architectural and Engineering Specification:</w:t>
    </w:r>
  </w:p>
  <w:p w14:paraId="52765B7C" w14:textId="7BA15EEE" w:rsidR="00D61CE7" w:rsidRDefault="00D61CE7">
    <w:pPr>
      <w:pStyle w:val="HeaderLine"/>
    </w:pPr>
    <w:proofErr w:type="spellStart"/>
    <w:r>
      <w:t>UltraLink</w:t>
    </w:r>
    <w:proofErr w:type="spellEnd"/>
    <w:r>
      <w:t xml:space="preserve"> </w:t>
    </w:r>
    <w:proofErr w:type="spellStart"/>
    <w:r w:rsidR="00DE069A">
      <w:t>Input/Output</w:t>
    </w:r>
    <w:proofErr w:type="spellEnd"/>
    <w:r>
      <w:t xml:space="preserve"> Modules</w:t>
    </w:r>
  </w:p>
  <w:p w14:paraId="21A086E2" w14:textId="77777777" w:rsidR="00D61CE7" w:rsidRDefault="00D61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8C8D" w14:textId="77777777" w:rsidR="00D61CE7" w:rsidRDefault="00D61CE7">
    <w:r>
      <w:t>Architectural &amp; Engineering</w:t>
    </w:r>
  </w:p>
  <w:p w14:paraId="717ED735" w14:textId="77777777" w:rsidR="00D61CE7" w:rsidRDefault="00D61CE7">
    <w:pPr>
      <w:rPr>
        <w:vertAlign w:val="superscript"/>
      </w:rPr>
    </w:pPr>
    <w:r>
      <w:t xml:space="preserve">Specification for </w:t>
    </w:r>
    <w:proofErr w:type="spellStart"/>
    <w:r>
      <w:t>FlexPS</w:t>
    </w:r>
    <w:r>
      <w:rPr>
        <w:vertAlign w:val="superscript"/>
      </w:rPr>
      <w:t>TM</w:t>
    </w:r>
    <w:proofErr w:type="spellEnd"/>
  </w:p>
  <w:p w14:paraId="2A13123A" w14:textId="77777777" w:rsidR="00D61CE7" w:rsidRDefault="00D6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194"/>
    <w:multiLevelType w:val="hybridMultilevel"/>
    <w:tmpl w:val="B47A42EE"/>
    <w:lvl w:ilvl="0" w:tplc="36EC4F12">
      <w:start w:val="1"/>
      <w:numFmt w:val="upperLetter"/>
      <w:lvlText w:val="%1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23425"/>
    <w:multiLevelType w:val="multilevel"/>
    <w:tmpl w:val="1332A3F0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530"/>
        </w:tabs>
        <w:ind w:left="153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" w15:restartNumberingAfterBreak="0">
    <w:nsid w:val="3BEB7303"/>
    <w:multiLevelType w:val="hybridMultilevel"/>
    <w:tmpl w:val="39ACCE7A"/>
    <w:lvl w:ilvl="0" w:tplc="4F04E34C">
      <w:start w:val="1"/>
      <w:numFmt w:val="decimal"/>
      <w:pStyle w:val="Footer3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32E"/>
    <w:multiLevelType w:val="multilevel"/>
    <w:tmpl w:val="31526ADA"/>
    <w:lvl w:ilvl="0">
      <w:start w:val="1"/>
      <w:numFmt w:val="decimal"/>
      <w:lvlRestart w:val="0"/>
      <w:lvlText w:val="Part %1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5592066A"/>
    <w:multiLevelType w:val="hybridMultilevel"/>
    <w:tmpl w:val="65BEAB40"/>
    <w:lvl w:ilvl="0" w:tplc="1FE4C0A2">
      <w:start w:val="1"/>
      <w:numFmt w:val="decimal"/>
      <w:pStyle w:val="Footer2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4A9C"/>
    <w:multiLevelType w:val="hybridMultilevel"/>
    <w:tmpl w:val="778A7E96"/>
    <w:lvl w:ilvl="0" w:tplc="68BC4B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DE84482"/>
    <w:multiLevelType w:val="hybridMultilevel"/>
    <w:tmpl w:val="D75C9E2E"/>
    <w:lvl w:ilvl="0" w:tplc="D7F4577E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3B5805"/>
    <w:multiLevelType w:val="multilevel"/>
    <w:tmpl w:val="D92059AA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7"/>
  </w:num>
  <w:num w:numId="42">
    <w:abstractNumId w:val="0"/>
    <w:lvlOverride w:ilvl="0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87"/>
    <w:rsid w:val="00014A72"/>
    <w:rsid w:val="00067235"/>
    <w:rsid w:val="000D1C6B"/>
    <w:rsid w:val="000E39BF"/>
    <w:rsid w:val="00103AD2"/>
    <w:rsid w:val="00112BCB"/>
    <w:rsid w:val="001942A5"/>
    <w:rsid w:val="001C6676"/>
    <w:rsid w:val="001D4124"/>
    <w:rsid w:val="001D41D1"/>
    <w:rsid w:val="002447D2"/>
    <w:rsid w:val="00244DC8"/>
    <w:rsid w:val="002A62B1"/>
    <w:rsid w:val="002F20B4"/>
    <w:rsid w:val="002F650B"/>
    <w:rsid w:val="003212A1"/>
    <w:rsid w:val="00330872"/>
    <w:rsid w:val="0033386A"/>
    <w:rsid w:val="003418CC"/>
    <w:rsid w:val="0035466C"/>
    <w:rsid w:val="003A5504"/>
    <w:rsid w:val="003B1816"/>
    <w:rsid w:val="003C4A26"/>
    <w:rsid w:val="003E4188"/>
    <w:rsid w:val="003F5C4E"/>
    <w:rsid w:val="004039A1"/>
    <w:rsid w:val="0042119F"/>
    <w:rsid w:val="004269AD"/>
    <w:rsid w:val="00466DD9"/>
    <w:rsid w:val="004714F7"/>
    <w:rsid w:val="00481260"/>
    <w:rsid w:val="004A2834"/>
    <w:rsid w:val="004F3AFE"/>
    <w:rsid w:val="00502187"/>
    <w:rsid w:val="00503443"/>
    <w:rsid w:val="00560435"/>
    <w:rsid w:val="005955D3"/>
    <w:rsid w:val="005D23BB"/>
    <w:rsid w:val="005D37C6"/>
    <w:rsid w:val="005E62A2"/>
    <w:rsid w:val="00606F1C"/>
    <w:rsid w:val="00616911"/>
    <w:rsid w:val="00623DF9"/>
    <w:rsid w:val="00647CF5"/>
    <w:rsid w:val="00655871"/>
    <w:rsid w:val="00691058"/>
    <w:rsid w:val="006E0F56"/>
    <w:rsid w:val="0070662B"/>
    <w:rsid w:val="00713D79"/>
    <w:rsid w:val="00720B4F"/>
    <w:rsid w:val="007578B6"/>
    <w:rsid w:val="00776E13"/>
    <w:rsid w:val="0078373A"/>
    <w:rsid w:val="0078388E"/>
    <w:rsid w:val="007A0B51"/>
    <w:rsid w:val="007A1766"/>
    <w:rsid w:val="00817A39"/>
    <w:rsid w:val="00820B05"/>
    <w:rsid w:val="0082188F"/>
    <w:rsid w:val="008913CA"/>
    <w:rsid w:val="008B2AA0"/>
    <w:rsid w:val="008B73E2"/>
    <w:rsid w:val="008E4A25"/>
    <w:rsid w:val="008E6BF8"/>
    <w:rsid w:val="008F7927"/>
    <w:rsid w:val="00916E3B"/>
    <w:rsid w:val="0092683A"/>
    <w:rsid w:val="00931785"/>
    <w:rsid w:val="00937559"/>
    <w:rsid w:val="00970578"/>
    <w:rsid w:val="00972993"/>
    <w:rsid w:val="00A34CD0"/>
    <w:rsid w:val="00A44EB5"/>
    <w:rsid w:val="00A52663"/>
    <w:rsid w:val="00AF08E5"/>
    <w:rsid w:val="00B0272B"/>
    <w:rsid w:val="00B71C87"/>
    <w:rsid w:val="00BB6DF2"/>
    <w:rsid w:val="00BC1CBF"/>
    <w:rsid w:val="00BD1CC0"/>
    <w:rsid w:val="00BE0F1B"/>
    <w:rsid w:val="00C02054"/>
    <w:rsid w:val="00C27D5E"/>
    <w:rsid w:val="00C3483A"/>
    <w:rsid w:val="00C75BDE"/>
    <w:rsid w:val="00C80F32"/>
    <w:rsid w:val="00C84C94"/>
    <w:rsid w:val="00CD036E"/>
    <w:rsid w:val="00CD04FC"/>
    <w:rsid w:val="00CF133F"/>
    <w:rsid w:val="00D16AA3"/>
    <w:rsid w:val="00D4516D"/>
    <w:rsid w:val="00D451EB"/>
    <w:rsid w:val="00D61CE7"/>
    <w:rsid w:val="00DE069A"/>
    <w:rsid w:val="00DE6C96"/>
    <w:rsid w:val="00DE7D44"/>
    <w:rsid w:val="00E309D1"/>
    <w:rsid w:val="00E52B20"/>
    <w:rsid w:val="00E54900"/>
    <w:rsid w:val="00E60E12"/>
    <w:rsid w:val="00EA2855"/>
    <w:rsid w:val="00EA3B0F"/>
    <w:rsid w:val="00EB0117"/>
    <w:rsid w:val="00ED4B8A"/>
    <w:rsid w:val="00ED7624"/>
    <w:rsid w:val="00ED7FDB"/>
    <w:rsid w:val="00EE531A"/>
    <w:rsid w:val="00F1703E"/>
    <w:rsid w:val="00F21F88"/>
    <w:rsid w:val="00F334F4"/>
    <w:rsid w:val="00F95E72"/>
    <w:rsid w:val="00FA15AA"/>
    <w:rsid w:val="00FB0EB2"/>
    <w:rsid w:val="00FB51AD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655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53"/>
    <w:pPr>
      <w:tabs>
        <w:tab w:val="left" w:pos="1440"/>
      </w:tabs>
      <w:spacing w:before="120" w:after="120"/>
      <w:ind w:left="1440"/>
      <w:outlineLvl w:val="2"/>
    </w:pPr>
    <w:rPr>
      <w:rFonts w:asciiTheme="minorHAnsi" w:hAnsiTheme="minorHAnsi" w:cstheme="minorHAnsi"/>
      <w:sz w:val="22"/>
    </w:rPr>
  </w:style>
  <w:style w:type="paragraph" w:styleId="Heading1">
    <w:name w:val="heading 1"/>
    <w:next w:val="Heading2"/>
    <w:link w:val="Heading1Char"/>
    <w:qFormat/>
    <w:rsid w:val="00F334F4"/>
    <w:pPr>
      <w:keepNext/>
      <w:pageBreakBefore/>
      <w:numPr>
        <w:numId w:val="1"/>
      </w:numPr>
      <w:tabs>
        <w:tab w:val="clear" w:pos="1530"/>
        <w:tab w:val="num" w:pos="1418"/>
      </w:tabs>
      <w:spacing w:before="480"/>
      <w:ind w:hanging="1530"/>
      <w:outlineLvl w:val="0"/>
    </w:pPr>
    <w:rPr>
      <w:rFonts w:asciiTheme="majorHAnsi" w:hAnsiTheme="majorHAnsi"/>
      <w:b/>
      <w:caps/>
      <w:lang w:val="en-CA"/>
    </w:rPr>
  </w:style>
  <w:style w:type="paragraph" w:styleId="Heading2">
    <w:name w:val="heading 2"/>
    <w:next w:val="Heading3"/>
    <w:link w:val="Heading2Char"/>
    <w:qFormat/>
    <w:rsid w:val="008B73E2"/>
    <w:pPr>
      <w:keepNext/>
      <w:numPr>
        <w:ilvl w:val="1"/>
        <w:numId w:val="1"/>
      </w:numPr>
      <w:spacing w:before="240"/>
      <w:outlineLvl w:val="1"/>
    </w:pPr>
    <w:rPr>
      <w:rFonts w:asciiTheme="majorHAnsi" w:hAnsiTheme="majorHAnsi"/>
      <w:b/>
      <w:sz w:val="22"/>
      <w:lang w:val="en-CA"/>
    </w:rPr>
  </w:style>
  <w:style w:type="paragraph" w:styleId="Heading3">
    <w:name w:val="heading 3"/>
    <w:basedOn w:val="Normal"/>
    <w:link w:val="Heading3Char"/>
    <w:qFormat/>
    <w:rsid w:val="00C3483A"/>
    <w:pPr>
      <w:numPr>
        <w:ilvl w:val="2"/>
        <w:numId w:val="1"/>
      </w:numPr>
      <w:tabs>
        <w:tab w:val="clear" w:pos="1440"/>
      </w:tabs>
      <w:ind w:left="1980" w:hanging="540"/>
    </w:pPr>
  </w:style>
  <w:style w:type="paragraph" w:styleId="Heading4">
    <w:name w:val="heading 4"/>
    <w:basedOn w:val="Normal"/>
    <w:link w:val="Heading4Char"/>
    <w:qFormat/>
    <w:rsid w:val="00C3483A"/>
    <w:pPr>
      <w:numPr>
        <w:ilvl w:val="3"/>
        <w:numId w:val="1"/>
      </w:numPr>
      <w:tabs>
        <w:tab w:val="clear" w:pos="1440"/>
        <w:tab w:val="clear" w:pos="5130"/>
        <w:tab w:val="left" w:pos="2340"/>
      </w:tabs>
      <w:spacing w:before="60"/>
      <w:ind w:left="2340" w:hanging="360"/>
      <w:outlineLvl w:val="3"/>
    </w:pPr>
  </w:style>
  <w:style w:type="paragraph" w:styleId="Heading5">
    <w:name w:val="heading 5"/>
    <w:basedOn w:val="Normal"/>
    <w:link w:val="Heading5Char"/>
    <w:qFormat/>
    <w:rsid w:val="00C3483A"/>
    <w:pPr>
      <w:numPr>
        <w:ilvl w:val="4"/>
        <w:numId w:val="1"/>
      </w:numPr>
      <w:tabs>
        <w:tab w:val="clear" w:pos="1440"/>
        <w:tab w:val="clear" w:pos="8820"/>
        <w:tab w:val="left" w:pos="3510"/>
      </w:tabs>
      <w:spacing w:before="60"/>
      <w:ind w:left="2790" w:hanging="450"/>
      <w:outlineLvl w:val="4"/>
    </w:pPr>
  </w:style>
  <w:style w:type="paragraph" w:styleId="Heading6">
    <w:name w:val="heading 6"/>
    <w:basedOn w:val="Normal"/>
    <w:link w:val="Heading6Char"/>
    <w:qFormat/>
    <w:rsid w:val="00C3483A"/>
    <w:pPr>
      <w:numPr>
        <w:ilvl w:val="5"/>
        <w:numId w:val="1"/>
      </w:numPr>
      <w:tabs>
        <w:tab w:val="clear" w:pos="1440"/>
        <w:tab w:val="clear" w:pos="3600"/>
      </w:tabs>
      <w:spacing w:before="60"/>
      <w:ind w:left="3330" w:hanging="450"/>
      <w:outlineLvl w:val="5"/>
    </w:pPr>
  </w:style>
  <w:style w:type="paragraph" w:styleId="Heading7">
    <w:name w:val="heading 7"/>
    <w:basedOn w:val="Normal"/>
    <w:link w:val="Heading7Char"/>
    <w:qFormat/>
    <w:rsid w:val="008B73E2"/>
    <w:pPr>
      <w:numPr>
        <w:ilvl w:val="6"/>
        <w:numId w:val="1"/>
      </w:numPr>
      <w:tabs>
        <w:tab w:val="clear" w:pos="1440"/>
      </w:tabs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8B73E2"/>
    <w:pPr>
      <w:numPr>
        <w:ilvl w:val="7"/>
        <w:numId w:val="1"/>
      </w:numPr>
      <w:tabs>
        <w:tab w:val="clear" w:pos="1440"/>
      </w:tabs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8B73E2"/>
    <w:pPr>
      <w:numPr>
        <w:ilvl w:val="8"/>
        <w:numId w:val="1"/>
      </w:numPr>
      <w:tabs>
        <w:tab w:val="clear" w:pos="1440"/>
      </w:tabs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Line">
    <w:name w:val="HeaderLine"/>
    <w:basedOn w:val="Header"/>
    <w:qFormat/>
    <w:rsid w:val="002E1CB1"/>
    <w:pPr>
      <w:pBdr>
        <w:bottom w:val="single" w:sz="4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69770F"/>
    <w:rPr>
      <w:color w:val="0000FF" w:themeColor="hyperlink"/>
      <w:u w:val="single"/>
    </w:rPr>
  </w:style>
  <w:style w:type="paragraph" w:customStyle="1" w:styleId="introhead">
    <w:name w:val="intro head"/>
    <w:basedOn w:val="Heading1"/>
    <w:rsid w:val="00D90531"/>
    <w:pPr>
      <w:spacing w:before="240" w:after="120"/>
      <w:ind w:left="2880"/>
    </w:pPr>
    <w:rPr>
      <w:kern w:val="28"/>
      <w:sz w:val="20"/>
    </w:rPr>
  </w:style>
  <w:style w:type="paragraph" w:customStyle="1" w:styleId="Legal">
    <w:name w:val="Legal"/>
    <w:basedOn w:val="Normal"/>
    <w:qFormat/>
    <w:rsid w:val="00E932BF"/>
    <w:pPr>
      <w:tabs>
        <w:tab w:val="clear" w:pos="1440"/>
      </w:tabs>
      <w:ind w:left="0"/>
    </w:pPr>
  </w:style>
  <w:style w:type="character" w:customStyle="1" w:styleId="Heading1Char">
    <w:name w:val="Heading 1 Char"/>
    <w:basedOn w:val="DefaultParagraphFont"/>
    <w:link w:val="Heading1"/>
    <w:rsid w:val="00F334F4"/>
    <w:rPr>
      <w:rFonts w:asciiTheme="majorHAnsi" w:hAnsiTheme="majorHAnsi"/>
      <w:b/>
      <w:caps/>
      <w:lang w:val="en-CA"/>
    </w:rPr>
  </w:style>
  <w:style w:type="character" w:customStyle="1" w:styleId="Heading2Char">
    <w:name w:val="Heading 2 Char"/>
    <w:basedOn w:val="DefaultParagraphFont"/>
    <w:link w:val="Heading2"/>
    <w:rsid w:val="008B73E2"/>
    <w:rPr>
      <w:rFonts w:asciiTheme="majorHAnsi" w:hAnsiTheme="majorHAnsi"/>
      <w:b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C3483A"/>
    <w:rPr>
      <w:rFonts w:asciiTheme="minorHAnsi" w:hAnsiTheme="minorHAnsi" w:cs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E932BF"/>
    <w:pPr>
      <w:tabs>
        <w:tab w:val="clear" w:pos="1440"/>
      </w:tabs>
      <w:spacing w:before="240" w:after="60"/>
      <w:ind w:left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932BF"/>
    <w:rPr>
      <w:rFonts w:ascii="Cambria" w:hAnsi="Cambria" w:cstheme="minorHAns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C3483A"/>
    <w:rPr>
      <w:rFonts w:asciiTheme="minorHAnsi" w:hAnsiTheme="minorHAnsi" w:cstheme="minorHAnsi"/>
      <w:sz w:val="22"/>
    </w:rPr>
  </w:style>
  <w:style w:type="character" w:customStyle="1" w:styleId="Heading5Char">
    <w:name w:val="Heading 5 Char"/>
    <w:basedOn w:val="DefaultParagraphFont"/>
    <w:link w:val="Heading5"/>
    <w:rsid w:val="00C3483A"/>
    <w:rPr>
      <w:rFonts w:asciiTheme="minorHAnsi" w:hAnsiTheme="minorHAnsi" w:cstheme="minorHAnsi"/>
      <w:sz w:val="22"/>
    </w:rPr>
  </w:style>
  <w:style w:type="character" w:customStyle="1" w:styleId="Heading6Char">
    <w:name w:val="Heading 6 Char"/>
    <w:basedOn w:val="DefaultParagraphFont"/>
    <w:link w:val="Heading6"/>
    <w:rsid w:val="00C3483A"/>
    <w:rPr>
      <w:rFonts w:asciiTheme="minorHAnsi" w:hAnsiTheme="minorHAnsi" w:cstheme="minorHAnsi"/>
      <w:sz w:val="22"/>
    </w:rPr>
  </w:style>
  <w:style w:type="character" w:customStyle="1" w:styleId="Heading7Char">
    <w:name w:val="Heading 7 Char"/>
    <w:basedOn w:val="DefaultParagraphFont"/>
    <w:link w:val="Heading7"/>
    <w:rsid w:val="008B73E2"/>
    <w:rPr>
      <w:rFonts w:asciiTheme="minorHAnsi" w:hAnsiTheme="minorHAnsi" w:cstheme="minorHAnsi"/>
      <w:sz w:val="22"/>
    </w:rPr>
  </w:style>
  <w:style w:type="character" w:customStyle="1" w:styleId="Heading8Char">
    <w:name w:val="Heading 8 Char"/>
    <w:basedOn w:val="DefaultParagraphFont"/>
    <w:link w:val="Heading8"/>
    <w:rsid w:val="008B73E2"/>
    <w:rPr>
      <w:rFonts w:asciiTheme="minorHAnsi" w:hAnsiTheme="minorHAnsi" w:cstheme="minorHAnsi"/>
      <w:sz w:val="22"/>
    </w:rPr>
  </w:style>
  <w:style w:type="character" w:customStyle="1" w:styleId="Heading9Char">
    <w:name w:val="Heading 9 Char"/>
    <w:basedOn w:val="DefaultParagraphFont"/>
    <w:link w:val="Heading9"/>
    <w:rsid w:val="008B73E2"/>
    <w:rPr>
      <w:rFonts w:asciiTheme="minorHAnsi" w:hAnsiTheme="minorHAnsi" w:cstheme="minorHAnsi"/>
      <w:sz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03625"/>
    <w:pPr>
      <w:keepLines/>
      <w:numPr>
        <w:numId w:val="0"/>
      </w:numPr>
      <w:spacing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next w:val="Normal"/>
    <w:autoRedefine/>
    <w:uiPriority w:val="39"/>
    <w:unhideWhenUsed/>
    <w:qFormat/>
    <w:rsid w:val="00F42AD4"/>
    <w:pPr>
      <w:tabs>
        <w:tab w:val="left" w:pos="900"/>
        <w:tab w:val="right" w:leader="dot" w:pos="9350"/>
      </w:tabs>
      <w:ind w:left="180"/>
    </w:pPr>
    <w:rPr>
      <w:rFonts w:ascii="Calibri" w:hAnsi="Calibri"/>
      <w:noProof/>
      <w:sz w:val="22"/>
      <w:szCs w:val="22"/>
    </w:rPr>
  </w:style>
  <w:style w:type="paragraph" w:styleId="TOC1">
    <w:name w:val="toc 1"/>
    <w:next w:val="Normal"/>
    <w:autoRedefine/>
    <w:uiPriority w:val="39"/>
    <w:unhideWhenUsed/>
    <w:qFormat/>
    <w:rsid w:val="002E1CB1"/>
    <w:pPr>
      <w:tabs>
        <w:tab w:val="left" w:pos="880"/>
        <w:tab w:val="right" w:pos="9350"/>
      </w:tabs>
      <w:spacing w:before="240"/>
    </w:pPr>
    <w:rPr>
      <w:rFonts w:asciiTheme="majorHAnsi" w:hAnsiTheme="majorHAnsi"/>
      <w:b/>
      <w: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3625"/>
    <w:pPr>
      <w:spacing w:after="100" w:line="276" w:lineRule="auto"/>
      <w:ind w:left="44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2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1CB1"/>
    <w:pPr>
      <w:tabs>
        <w:tab w:val="center" w:pos="4680"/>
        <w:tab w:val="right" w:pos="9360"/>
      </w:tabs>
      <w:spacing w:before="0" w:after="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E1CB1"/>
    <w:rPr>
      <w:rFonts w:asciiTheme="minorHAnsi" w:hAnsiTheme="minorHAnsi" w:cs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E1CB1"/>
    <w:pPr>
      <w:pBdr>
        <w:top w:val="single" w:sz="4" w:space="1" w:color="auto"/>
      </w:pBdr>
      <w:tabs>
        <w:tab w:val="center" w:pos="4680"/>
        <w:tab w:val="right" w:pos="936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2E1CB1"/>
    <w:rPr>
      <w:rFonts w:asciiTheme="minorHAnsi" w:hAnsiTheme="minorHAnsi" w:cs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2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28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528E"/>
    <w:rPr>
      <w:vertAlign w:val="superscript"/>
    </w:rPr>
  </w:style>
  <w:style w:type="paragraph" w:customStyle="1" w:styleId="Footer2">
    <w:name w:val="Footer 2"/>
    <w:basedOn w:val="Footer"/>
    <w:link w:val="Footer2Char"/>
    <w:qFormat/>
    <w:rsid w:val="00DD7B29"/>
    <w:pPr>
      <w:numPr>
        <w:numId w:val="4"/>
      </w:numPr>
      <w:pBdr>
        <w:top w:val="single" w:sz="4" w:space="1" w:color="D9D9D9"/>
      </w:pBdr>
    </w:pPr>
  </w:style>
  <w:style w:type="paragraph" w:customStyle="1" w:styleId="Footer3">
    <w:name w:val="Footer 3"/>
    <w:basedOn w:val="Footer"/>
    <w:link w:val="Footer3Char"/>
    <w:qFormat/>
    <w:rsid w:val="00DD7B29"/>
    <w:pPr>
      <w:numPr>
        <w:numId w:val="5"/>
      </w:numPr>
      <w:pBdr>
        <w:top w:val="single" w:sz="4" w:space="1" w:color="D9D9D9"/>
      </w:pBdr>
    </w:pPr>
    <w:rPr>
      <w:color w:val="7F7F7F"/>
      <w:spacing w:val="60"/>
    </w:rPr>
  </w:style>
  <w:style w:type="character" w:customStyle="1" w:styleId="Footer2Char">
    <w:name w:val="Footer 2 Char"/>
    <w:basedOn w:val="FooterChar"/>
    <w:link w:val="Footer2"/>
    <w:rsid w:val="00DD7B29"/>
    <w:rPr>
      <w:rFonts w:asciiTheme="minorHAnsi" w:hAnsiTheme="minorHAnsi" w:cstheme="minorHAnsi"/>
      <w:sz w:val="22"/>
    </w:rPr>
  </w:style>
  <w:style w:type="character" w:customStyle="1" w:styleId="Footer3Char">
    <w:name w:val="Footer 3 Char"/>
    <w:basedOn w:val="FooterChar"/>
    <w:link w:val="Footer3"/>
    <w:rsid w:val="00DD7B29"/>
    <w:rPr>
      <w:rFonts w:asciiTheme="minorHAnsi" w:hAnsiTheme="minorHAnsi" w:cstheme="minorHAnsi"/>
      <w:color w:val="7F7F7F"/>
      <w:spacing w:val="60"/>
      <w:sz w:val="22"/>
    </w:rPr>
  </w:style>
  <w:style w:type="character" w:styleId="PageNumber">
    <w:name w:val="page number"/>
    <w:basedOn w:val="DefaultParagraphFont"/>
    <w:semiHidden/>
    <w:rsid w:val="00C0236E"/>
  </w:style>
  <w:style w:type="paragraph" w:customStyle="1" w:styleId="Default">
    <w:name w:val="Default"/>
    <w:rsid w:val="00D02934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796D03"/>
    <w:pPr>
      <w:numPr>
        <w:numId w:val="37"/>
      </w:numPr>
      <w:tabs>
        <w:tab w:val="clear" w:pos="1440"/>
      </w:tabs>
      <w:spacing w:before="100" w:after="100" w:line="276" w:lineRule="auto"/>
      <w:contextualSpacing/>
      <w:jc w:val="both"/>
      <w:outlineLvl w:val="9"/>
    </w:pPr>
    <w:rPr>
      <w:szCs w:val="22"/>
      <w:lang w:val="en-CA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6D03"/>
    <w:rPr>
      <w:sz w:val="22"/>
      <w:szCs w:val="22"/>
      <w:lang w:val="en-CA" w:bidi="he-IL"/>
    </w:rPr>
  </w:style>
  <w:style w:type="character" w:styleId="SubtleEmphasis">
    <w:name w:val="Subtle Emphasis"/>
    <w:basedOn w:val="DefaultParagraphFont"/>
    <w:uiPriority w:val="65"/>
    <w:qFormat/>
    <w:rsid w:val="006274D5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1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D0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D01"/>
    <w:rPr>
      <w:rFonts w:asciiTheme="minorHAnsi" w:hAnsiTheme="minorHAnsi" w:cs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D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D01"/>
    <w:rPr>
      <w:rFonts w:asciiTheme="minorHAnsi" w:hAnsiTheme="minorHAnsi" w:cstheme="minorHAnsi"/>
      <w:b/>
      <w:bCs/>
      <w:sz w:val="24"/>
      <w:szCs w:val="24"/>
    </w:rPr>
  </w:style>
  <w:style w:type="paragraph" w:styleId="Revision">
    <w:name w:val="Revision"/>
    <w:hidden/>
    <w:uiPriority w:val="71"/>
    <w:rsid w:val="00D071F7"/>
    <w:rPr>
      <w:rFonts w:asciiTheme="minorHAnsi" w:hAnsiTheme="minorHAnsi" w:cs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33D6-CF5C-784F-86BE-4DAFD726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FlexZone A&amp;E Specification</vt:lpstr>
    </vt:vector>
  </TitlesOfParts>
  <Company>Senstar</Company>
  <LinksUpToDate>false</LinksUpToDate>
  <CharactersWithSpaces>16169</CharactersWithSpaces>
  <SharedDoc>false</SharedDoc>
  <HLinks>
    <vt:vector size="108" baseType="variant">
      <vt:variant>
        <vt:i4>4063334</vt:i4>
      </vt:variant>
      <vt:variant>
        <vt:i4>105</vt:i4>
      </vt:variant>
      <vt:variant>
        <vt:i4>0</vt:i4>
      </vt:variant>
      <vt:variant>
        <vt:i4>5</vt:i4>
      </vt:variant>
      <vt:variant>
        <vt:lpwstr>http://www.senstar.com</vt:lpwstr>
      </vt:variant>
      <vt:variant>
        <vt:lpwstr/>
      </vt:variant>
      <vt:variant>
        <vt:i4>1703938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_Toc285116226</vt:lpwstr>
      </vt:variant>
      <vt:variant>
        <vt:i4>1703937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_Toc285116225</vt:lpwstr>
      </vt:variant>
      <vt:variant>
        <vt:i4>1703936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_Toc285116224</vt:lpwstr>
      </vt:variant>
      <vt:variant>
        <vt:i4>1703943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_Toc285116223</vt:lpwstr>
      </vt:variant>
      <vt:variant>
        <vt:i4>1703942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_Toc285116222</vt:lpwstr>
      </vt:variant>
      <vt:variant>
        <vt:i4>1703941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_Toc285116221</vt:lpwstr>
      </vt:variant>
      <vt:variant>
        <vt:i4>1703940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_Toc285116220</vt:lpwstr>
      </vt:variant>
      <vt:variant>
        <vt:i4>1638413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_Toc285116219</vt:lpwstr>
      </vt:variant>
      <vt:variant>
        <vt:i4>1638412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_Toc285116218</vt:lpwstr>
      </vt:variant>
      <vt:variant>
        <vt:i4>1638403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_Toc285116217</vt:lpwstr>
      </vt:variant>
      <vt:variant>
        <vt:i4>1638402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_Toc285116216</vt:lpwstr>
      </vt:variant>
      <vt:variant>
        <vt:i4>1638401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_Toc285116215</vt:lpwstr>
      </vt:variant>
      <vt:variant>
        <vt:i4>1638400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_Toc285116214</vt:lpwstr>
      </vt:variant>
      <vt:variant>
        <vt:i4>1638407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_Toc285116213</vt:lpwstr>
      </vt:variant>
      <vt:variant>
        <vt:i4>1638406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_Toc285116212</vt:lpwstr>
      </vt:variant>
      <vt:variant>
        <vt:i4>1638405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_Toc285116211</vt:lpwstr>
      </vt:variant>
      <vt:variant>
        <vt:i4>1638404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_Toc285116210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UltraLink I/O A&amp;E Specification</dc:title>
  <dc:creator>Stewart Dewar</dc:creator>
  <cp:keywords>Senstar</cp:keywords>
  <cp:lastModifiedBy>Shauna Quinn</cp:lastModifiedBy>
  <cp:revision>2</cp:revision>
  <cp:lastPrinted>2016-03-03T18:53:00Z</cp:lastPrinted>
  <dcterms:created xsi:type="dcterms:W3CDTF">2020-06-30T18:43:00Z</dcterms:created>
  <dcterms:modified xsi:type="dcterms:W3CDTF">2020-06-30T18:43:00Z</dcterms:modified>
</cp:coreProperties>
</file>